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beforeAutospacing="0" w:after="0" w:afterAutospacing="0"/>
        <w:ind w:firstLine="709"/>
        <w:jc w:val="both"/>
        <w:rPr>
          <w:rFonts w:hint="default"/>
          <w:b/>
          <w:bCs/>
          <w:sz w:val="28"/>
          <w:szCs w:val="28"/>
          <w:lang w:val="ru-RU"/>
        </w:rPr>
      </w:pPr>
      <w:r>
        <w:rPr>
          <w:b/>
          <w:bCs/>
          <w:sz w:val="28"/>
          <w:szCs w:val="28"/>
          <w:lang w:val="ru-RU"/>
        </w:rPr>
        <w:t>ПРАВОВЫЕ</w:t>
      </w:r>
      <w:r>
        <w:rPr>
          <w:rFonts w:hint="default"/>
          <w:b/>
          <w:bCs/>
          <w:sz w:val="28"/>
          <w:szCs w:val="28"/>
          <w:lang w:val="ru-RU"/>
        </w:rPr>
        <w:t xml:space="preserve"> НОВОСТИ </w:t>
      </w:r>
    </w:p>
    <w:p>
      <w:pPr>
        <w:pStyle w:val="8"/>
        <w:spacing w:before="0" w:beforeAutospacing="0" w:after="0" w:afterAutospacing="0"/>
        <w:jc w:val="both"/>
        <w:rPr>
          <w:sz w:val="28"/>
          <w:szCs w:val="28"/>
        </w:rPr>
      </w:pPr>
    </w:p>
    <w:p>
      <w:pPr>
        <w:pStyle w:val="8"/>
        <w:spacing w:before="0" w:beforeAutospacing="0" w:after="0" w:afterAutospacing="0"/>
        <w:jc w:val="both"/>
        <w:rPr>
          <w:sz w:val="28"/>
          <w:szCs w:val="28"/>
        </w:rPr>
      </w:pPr>
    </w:p>
    <w:p>
      <w:pPr>
        <w:pStyle w:val="8"/>
        <w:spacing w:before="0" w:beforeAutospacing="0" w:after="0" w:afterAutospacing="0"/>
        <w:ind w:firstLine="709"/>
        <w:jc w:val="both"/>
        <w:rPr>
          <w:sz w:val="28"/>
          <w:szCs w:val="28"/>
        </w:rPr>
      </w:pPr>
      <w:r>
        <w:rPr>
          <w:rStyle w:val="7"/>
          <w:sz w:val="28"/>
          <w:szCs w:val="28"/>
        </w:rPr>
        <w:t>В соответстви</w:t>
      </w:r>
      <w:r>
        <w:rPr>
          <w:rStyle w:val="7"/>
          <w:sz w:val="28"/>
          <w:szCs w:val="28"/>
          <w:lang w:val="ru-RU"/>
        </w:rPr>
        <w:t>е</w:t>
      </w:r>
      <w:r>
        <w:rPr>
          <w:rStyle w:val="7"/>
          <w:sz w:val="28"/>
          <w:szCs w:val="28"/>
        </w:rPr>
        <w:t xml:space="preserve"> с </w:t>
      </w:r>
      <w:r>
        <w:rPr>
          <w:sz w:val="28"/>
          <w:szCs w:val="28"/>
        </w:rPr>
        <w:fldChar w:fldCharType="begin"/>
      </w:r>
      <w:r>
        <w:rPr>
          <w:sz w:val="28"/>
          <w:szCs w:val="28"/>
        </w:rPr>
        <w:instrText xml:space="preserve"> HYPERLINK "http://www.consultant.ru/cabinet/stat/fd/2022-07-19/click/consultant/?dst=http%3A%2F%2Fwww.consultant.ru%2Fdocument%2Fcons_doc_LAW_422356%2F&amp;utm_campaign=fd&amp;utm_source=consultant&amp;utm_medium=email&amp;utm_content=body" \t "_blank" </w:instrText>
      </w:r>
      <w:r>
        <w:rPr>
          <w:sz w:val="28"/>
          <w:szCs w:val="28"/>
        </w:rPr>
        <w:fldChar w:fldCharType="separate"/>
      </w:r>
      <w:r>
        <w:rPr>
          <w:rStyle w:val="6"/>
          <w:b/>
          <w:bCs/>
          <w:color w:val="auto"/>
          <w:sz w:val="28"/>
          <w:szCs w:val="28"/>
          <w:u w:val="none"/>
        </w:rPr>
        <w:t>Указом Президента РФ от 18.07.2022 N 468</w:t>
      </w:r>
      <w:r>
        <w:rPr>
          <w:b/>
          <w:bCs/>
          <w:sz w:val="28"/>
          <w:szCs w:val="28"/>
        </w:rPr>
        <w:br w:type="textWrapping"/>
      </w:r>
      <w:r>
        <w:rPr>
          <w:rStyle w:val="6"/>
          <w:b/>
          <w:bCs/>
          <w:color w:val="auto"/>
          <w:sz w:val="28"/>
          <w:szCs w:val="28"/>
          <w:u w:val="none"/>
        </w:rPr>
        <w:t>"О внесении изменений в Указ Президента Российской Федерации от 14 октября 2012 г. N 1380 "О повышении эффективности мер государственной поддержки работников организаций оборонно-промышленного комплекса Российской Федерации"</w:t>
      </w:r>
      <w:r>
        <w:rPr>
          <w:rStyle w:val="6"/>
          <w:b/>
          <w:bCs/>
          <w:color w:val="auto"/>
          <w:sz w:val="28"/>
          <w:szCs w:val="28"/>
          <w:u w:val="none"/>
        </w:rPr>
        <w:fldChar w:fldCharType="end"/>
      </w:r>
      <w:r>
        <w:rPr>
          <w:rStyle w:val="7"/>
          <w:sz w:val="28"/>
          <w:szCs w:val="28"/>
        </w:rPr>
        <w:t xml:space="preserve"> </w:t>
      </w:r>
      <w:r>
        <w:rPr>
          <w:sz w:val="28"/>
          <w:szCs w:val="28"/>
        </w:rPr>
        <w:t xml:space="preserve">ученые и конструкторы, исполняющие государственный оборонный заказ, будут получать стипендию в размере 800 тысяч рублей. </w:t>
      </w:r>
    </w:p>
    <w:p>
      <w:pPr>
        <w:pStyle w:val="8"/>
        <w:spacing w:before="0" w:beforeAutospacing="0" w:after="0" w:afterAutospacing="0"/>
        <w:ind w:firstLine="709"/>
        <w:jc w:val="both"/>
        <w:rPr>
          <w:sz w:val="28"/>
          <w:szCs w:val="28"/>
        </w:rPr>
      </w:pPr>
      <w:r>
        <w:rPr>
          <w:sz w:val="28"/>
          <w:szCs w:val="28"/>
        </w:rPr>
        <w:t xml:space="preserve">Ранее размер стипендии для ученых, конструкторов, технологов и других инженерно-технических работников организаций - исполнителей государственного оборонного заказа составлял 500 тысяч рублей. Согласно тексту документа, в год будет назначаться 500 таких стипендий. </w:t>
      </w:r>
    </w:p>
    <w:p>
      <w:pPr>
        <w:pStyle w:val="8"/>
        <w:spacing w:before="0" w:beforeAutospacing="0" w:after="0" w:afterAutospacing="0"/>
        <w:ind w:firstLine="709"/>
        <w:jc w:val="both"/>
        <w:rPr>
          <w:sz w:val="28"/>
          <w:szCs w:val="28"/>
        </w:rPr>
      </w:pPr>
      <w:r>
        <w:rPr>
          <w:sz w:val="28"/>
          <w:szCs w:val="28"/>
        </w:rPr>
        <w:t>Кроме этого, документом для специалистов и молодых (до 35 лет включительно) работников организаций - исполнителей государственного оборонного заказа установлены стипендии в размере 500 тыс. рублей каждая за значительный вклад в создание прорывных технологий и разработку современных образцов вооружения, военной и специальной техники в интересах обеспечения обороны страны и безопасности государства (будет назначаться 1500 стипендий в год). Настоящий Указ вступ</w:t>
      </w:r>
      <w:r>
        <w:rPr>
          <w:sz w:val="28"/>
          <w:szCs w:val="28"/>
          <w:lang w:val="ru-RU"/>
        </w:rPr>
        <w:t>и</w:t>
      </w:r>
      <w:r>
        <w:rPr>
          <w:sz w:val="28"/>
          <w:szCs w:val="28"/>
        </w:rPr>
        <w:t>т в силу с 1 января 2023 года.</w:t>
      </w:r>
    </w:p>
    <w:p>
      <w:pPr>
        <w:pStyle w:val="8"/>
        <w:spacing w:before="0" w:beforeAutospacing="0" w:after="0" w:afterAutospacing="0"/>
        <w:ind w:firstLine="709"/>
        <w:jc w:val="both"/>
        <w:rPr>
          <w:sz w:val="28"/>
          <w:szCs w:val="28"/>
        </w:rPr>
      </w:pPr>
    </w:p>
    <w:p>
      <w:pPr>
        <w:pStyle w:val="8"/>
        <w:spacing w:before="0" w:beforeAutospacing="0" w:after="0" w:afterAutospacing="0"/>
        <w:ind w:firstLine="567"/>
        <w:jc w:val="both"/>
        <w:rPr>
          <w:sz w:val="28"/>
          <w:szCs w:val="28"/>
        </w:rPr>
      </w:pPr>
      <w:r>
        <w:rPr>
          <w:b/>
          <w:sz w:val="28"/>
          <w:szCs w:val="28"/>
        </w:rPr>
        <w:t>Согласно</w:t>
      </w:r>
      <w:r>
        <w:rPr>
          <w:rFonts w:hint="default"/>
          <w:b/>
          <w:sz w:val="28"/>
          <w:szCs w:val="28"/>
          <w:lang w:val="ru-RU"/>
        </w:rPr>
        <w:t xml:space="preserve"> </w:t>
      </w:r>
      <w:r>
        <w:rPr>
          <w:sz w:val="28"/>
          <w:szCs w:val="28"/>
        </w:rPr>
        <w:fldChar w:fldCharType="begin"/>
      </w:r>
      <w:r>
        <w:rPr>
          <w:sz w:val="28"/>
          <w:szCs w:val="28"/>
        </w:rPr>
        <w:instrText xml:space="preserve"> HYPERLINK "http://www.consultant.ru/cabinet/stat/fd/2022-07-26/click/consultant/?dst=http%3A%2F%2Fwww.consultant.ru%2Fdocument%2Fcons_doc_LAW_422803%2F&amp;utm_campaign=fd&amp;utm_source=consultant&amp;utm_medium=email&amp;utm_content=body" \t "_blank" </w:instrText>
      </w:r>
      <w:r>
        <w:rPr>
          <w:sz w:val="28"/>
          <w:szCs w:val="28"/>
        </w:rPr>
        <w:fldChar w:fldCharType="separate"/>
      </w:r>
      <w:r>
        <w:rPr>
          <w:rStyle w:val="6"/>
          <w:b/>
          <w:bCs/>
          <w:color w:val="auto"/>
          <w:sz w:val="28"/>
          <w:szCs w:val="28"/>
          <w:u w:val="none"/>
        </w:rPr>
        <w:t>Указу Президента РФ от 25.07.2022 N 496</w:t>
      </w:r>
      <w:r>
        <w:rPr>
          <w:b/>
          <w:bCs/>
          <w:sz w:val="28"/>
          <w:szCs w:val="28"/>
        </w:rPr>
        <w:br w:type="textWrapping"/>
      </w:r>
      <w:r>
        <w:rPr>
          <w:rStyle w:val="6"/>
          <w:b/>
          <w:bCs/>
          <w:color w:val="auto"/>
          <w:sz w:val="28"/>
          <w:szCs w:val="28"/>
          <w:u w:val="none"/>
        </w:rPr>
        <w:t>"О Дне среднего профессионального образования"</w:t>
      </w:r>
      <w:r>
        <w:rPr>
          <w:rStyle w:val="6"/>
          <w:b/>
          <w:bCs/>
          <w:color w:val="auto"/>
          <w:sz w:val="28"/>
          <w:szCs w:val="28"/>
          <w:u w:val="none"/>
        </w:rPr>
        <w:fldChar w:fldCharType="end"/>
      </w:r>
      <w:r>
        <w:rPr>
          <w:sz w:val="28"/>
          <w:szCs w:val="28"/>
        </w:rPr>
        <w:t xml:space="preserve"> в России появился новый праздник - День среднего профессионального образования.</w:t>
      </w:r>
    </w:p>
    <w:p>
      <w:pPr>
        <w:pStyle w:val="8"/>
        <w:spacing w:before="0" w:beforeAutospacing="0" w:after="0" w:afterAutospacing="0"/>
        <w:ind w:firstLine="567"/>
        <w:jc w:val="both"/>
        <w:rPr>
          <w:sz w:val="28"/>
          <w:szCs w:val="28"/>
        </w:rPr>
      </w:pPr>
      <w:r>
        <w:rPr>
          <w:sz w:val="28"/>
          <w:szCs w:val="28"/>
        </w:rPr>
        <w:t>Праздник направлен на развитие и популяризацию среднего профессионального образования. Он будет отмечаться 2 октября.</w:t>
      </w:r>
    </w:p>
    <w:p>
      <w:pPr>
        <w:pStyle w:val="8"/>
        <w:spacing w:before="0" w:beforeAutospacing="0" w:after="0" w:afterAutospacing="0"/>
        <w:ind w:firstLine="567"/>
        <w:jc w:val="both"/>
        <w:rPr>
          <w:sz w:val="28"/>
          <w:szCs w:val="28"/>
        </w:rPr>
      </w:pPr>
      <w:r>
        <w:rPr>
          <w:sz w:val="28"/>
          <w:szCs w:val="28"/>
        </w:rPr>
        <w:t>Настоящий указ вступает в силу со дня его подписания.</w:t>
      </w:r>
    </w:p>
    <w:p>
      <w:pPr>
        <w:pStyle w:val="8"/>
        <w:spacing w:before="0" w:beforeAutospacing="0" w:after="0" w:afterAutospacing="0"/>
        <w:jc w:val="both"/>
        <w:rPr>
          <w:sz w:val="28"/>
          <w:szCs w:val="28"/>
        </w:rPr>
      </w:pPr>
    </w:p>
    <w:p>
      <w:pPr>
        <w:pStyle w:val="8"/>
        <w:spacing w:before="0" w:beforeAutospacing="0" w:after="0" w:afterAutospacing="0"/>
        <w:ind w:firstLine="567"/>
        <w:jc w:val="both"/>
        <w:rPr>
          <w:sz w:val="28"/>
          <w:szCs w:val="28"/>
        </w:rPr>
      </w:pPr>
      <w:r>
        <w:rPr>
          <w:sz w:val="28"/>
          <w:szCs w:val="28"/>
        </w:rPr>
        <w:fldChar w:fldCharType="begin"/>
      </w:r>
      <w:r>
        <w:rPr>
          <w:sz w:val="28"/>
          <w:szCs w:val="28"/>
        </w:rPr>
        <w:instrText xml:space="preserve"> HYPERLINK "http://www.consultant.ru/cabinet/stat/fd/2022-07-20/click/consultant/?dst=http%3A%2F%2Fwww.consultant.ru%2Fdocument%2Fcons_doc_LAW_422368%2F&amp;utm_campaign=fd&amp;utm_source=consultant&amp;utm_medium=email&amp;utm_content=body" \t "_blank" </w:instrText>
      </w:r>
      <w:r>
        <w:rPr>
          <w:sz w:val="28"/>
          <w:szCs w:val="28"/>
        </w:rPr>
        <w:fldChar w:fldCharType="separate"/>
      </w:r>
      <w:r>
        <w:rPr>
          <w:rStyle w:val="6"/>
          <w:b/>
          <w:bCs/>
          <w:color w:val="auto"/>
          <w:sz w:val="28"/>
          <w:szCs w:val="28"/>
          <w:u w:val="none"/>
        </w:rPr>
        <w:t xml:space="preserve">  </w:t>
      </w:r>
      <w:r>
        <w:rPr>
          <w:sz w:val="28"/>
          <w:szCs w:val="28"/>
        </w:rPr>
        <w:fldChar w:fldCharType="begin"/>
      </w:r>
      <w:r>
        <w:rPr>
          <w:sz w:val="28"/>
          <w:szCs w:val="28"/>
        </w:rPr>
        <w:instrText xml:space="preserve"> HYPERLINK "http://www.consultant.ru/cabinet/stat/fd/2022-07-27/click/consultant/?dst=http%3A%2F%2Fwww.consultant.ru%2Fdocument%2Fcons_doc_LAW_422801%2F&amp;utm_campaign=fd&amp;utm_source=consultant&amp;utm_medium=email&amp;utm_content=body" \t "_blank" </w:instrText>
      </w:r>
      <w:r>
        <w:rPr>
          <w:sz w:val="28"/>
          <w:szCs w:val="28"/>
        </w:rPr>
        <w:fldChar w:fldCharType="separate"/>
      </w:r>
      <w:r>
        <w:rPr>
          <w:rStyle w:val="6"/>
          <w:b/>
          <w:bCs/>
          <w:color w:val="auto"/>
          <w:sz w:val="28"/>
          <w:szCs w:val="28"/>
          <w:u w:val="none"/>
        </w:rPr>
        <w:t>Постановлением Правительства РФ от 20.07.2022 N 1307</w:t>
      </w:r>
      <w:r>
        <w:rPr>
          <w:b/>
          <w:bCs/>
          <w:sz w:val="28"/>
          <w:szCs w:val="28"/>
        </w:rPr>
        <w:br w:type="textWrapping"/>
      </w:r>
      <w:r>
        <w:rPr>
          <w:rStyle w:val="6"/>
          <w:b/>
          <w:bCs/>
          <w:color w:val="auto"/>
          <w:sz w:val="28"/>
          <w:szCs w:val="28"/>
          <w:u w:val="none"/>
        </w:rPr>
        <w:t>"О внесении изменения в Правила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дополнительных мероприятий, направленных на снижение напряженности на рынке труда субъектов Российской Федерации"</w:t>
      </w:r>
      <w:r>
        <w:rPr>
          <w:rStyle w:val="6"/>
          <w:b/>
          <w:bCs/>
          <w:color w:val="auto"/>
          <w:sz w:val="28"/>
          <w:szCs w:val="28"/>
          <w:u w:val="none"/>
        </w:rPr>
        <w:fldChar w:fldCharType="end"/>
      </w:r>
      <w:r>
        <w:rPr>
          <w:sz w:val="28"/>
          <w:szCs w:val="28"/>
        </w:rPr>
        <w:t xml:space="preserve"> увеличен период компенсационных выплат предприятиям за организацию временной занятости работников. </w:t>
      </w:r>
    </w:p>
    <w:p>
      <w:pPr>
        <w:pStyle w:val="8"/>
        <w:spacing w:before="0" w:beforeAutospacing="0" w:after="0" w:afterAutospacing="0"/>
        <w:ind w:firstLine="567"/>
        <w:jc w:val="both"/>
        <w:rPr>
          <w:sz w:val="28"/>
          <w:szCs w:val="28"/>
        </w:rPr>
      </w:pPr>
      <w:r>
        <w:rPr>
          <w:sz w:val="28"/>
          <w:szCs w:val="28"/>
        </w:rPr>
        <w:t>Раньше период временной занятости, за организацию которой предприятия получали компенсации (один минимальный размер оплаты труда с учетом районного коэффициента и страховых взносов на одного работника), ограничивался тремя месяцами. Теперь он увеличился до шести месяцев.</w:t>
      </w:r>
    </w:p>
    <w:p>
      <w:pPr>
        <w:pStyle w:val="9"/>
        <w:spacing w:before="0" w:beforeAutospacing="0" w:after="0" w:afterAutospacing="0"/>
        <w:ind w:firstLine="567"/>
        <w:jc w:val="both"/>
        <w:rPr>
          <w:sz w:val="28"/>
          <w:szCs w:val="28"/>
        </w:rPr>
      </w:pPr>
      <w:r>
        <w:rPr>
          <w:sz w:val="28"/>
          <w:szCs w:val="28"/>
        </w:rPr>
        <w:t>Расширен перечень социальных выплат, которые будут перечисляться на карту "Мир"</w:t>
      </w:r>
    </w:p>
    <w:p>
      <w:pPr>
        <w:pStyle w:val="8"/>
        <w:spacing w:before="0" w:beforeAutospacing="0" w:after="0" w:afterAutospacing="0"/>
        <w:ind w:firstLine="567"/>
        <w:jc w:val="both"/>
        <w:rPr>
          <w:sz w:val="28"/>
          <w:szCs w:val="28"/>
        </w:rPr>
      </w:pPr>
      <w:r>
        <w:rPr>
          <w:sz w:val="28"/>
          <w:szCs w:val="28"/>
        </w:rPr>
        <w:t>Речь идет о выплатах, установленных в соответствии с Федеральным законом "О государственной социальной помощи", субсидиях на оплату жилого помещения и коммунальных услуг, предоставляемых в соответствии со статьей 159 Жилищного кодекса РФ, компенсации расходов на оплату жилых помещений и коммунальных услуг, предоставляемых отдельным категориям граждан в соответствии со статьей 160 Жилищного кодекса РФ, ежегодной денежной выплате лицам, награжденным нагрудным знаком "Почетный донор России".</w:t>
      </w:r>
    </w:p>
    <w:p>
      <w:pPr>
        <w:autoSpaceDE w:val="0"/>
        <w:autoSpaceDN w:val="0"/>
        <w:adjustRightInd w:val="0"/>
        <w:spacing w:after="0" w:line="240" w:lineRule="auto"/>
        <w:ind w:firstLine="567"/>
        <w:jc w:val="both"/>
        <w:rPr>
          <w:rFonts w:hint="default"/>
          <w:sz w:val="28"/>
          <w:szCs w:val="28"/>
          <w:lang w:val="ru-RU"/>
        </w:rPr>
      </w:pPr>
      <w:r>
        <w:rPr>
          <w:rFonts w:ascii="Times New Roman" w:hAnsi="Times New Roman" w:cs="Times New Roman"/>
          <w:sz w:val="28"/>
          <w:szCs w:val="28"/>
        </w:rPr>
        <w:t>Настоящее постановление вступает в силу через 3 месяца со дня его официального опубликования. Опубликовано на  официальном интернет-портале правовой информации http://pravo.gov.ru  25.07.2022</w:t>
      </w:r>
      <w:r>
        <w:rPr>
          <w:rStyle w:val="6"/>
          <w:b/>
          <w:bCs/>
          <w:color w:val="auto"/>
          <w:sz w:val="28"/>
          <w:szCs w:val="28"/>
          <w:u w:val="none"/>
        </w:rPr>
        <w:fldChar w:fldCharType="end"/>
      </w:r>
      <w:r>
        <w:rPr>
          <w:rStyle w:val="6"/>
          <w:rFonts w:hint="default"/>
          <w:b/>
          <w:bCs/>
          <w:color w:val="auto"/>
          <w:sz w:val="28"/>
          <w:szCs w:val="28"/>
          <w:u w:val="none"/>
          <w:lang w:val="ru-RU"/>
        </w:rPr>
        <w:t>.</w:t>
      </w:r>
    </w:p>
    <w:p>
      <w:pPr>
        <w:spacing w:after="0" w:line="240" w:lineRule="auto"/>
        <w:jc w:val="both"/>
        <w:rPr>
          <w:rFonts w:ascii="Times New Roman" w:hAnsi="Times New Roman" w:eastAsia="Times New Roman" w:cs="Times New Roman"/>
          <w:sz w:val="28"/>
          <w:szCs w:val="28"/>
          <w:lang w:eastAsia="ru-RU"/>
        </w:rPr>
      </w:pPr>
      <w:bookmarkStart w:id="0" w:name="_GoBack"/>
      <w:bookmarkEnd w:id="0"/>
    </w:p>
    <w:p>
      <w:pPr>
        <w:pStyle w:val="8"/>
        <w:spacing w:before="0" w:beforeAutospacing="0" w:after="0" w:afterAutospacing="0"/>
        <w:ind w:firstLine="567"/>
        <w:jc w:val="both"/>
        <w:rPr>
          <w:b/>
          <w:sz w:val="28"/>
          <w:szCs w:val="28"/>
        </w:rPr>
      </w:pPr>
      <w:r>
        <w:rPr>
          <w:b/>
          <w:sz w:val="28"/>
          <w:szCs w:val="28"/>
        </w:rPr>
        <w:t xml:space="preserve">По </w:t>
      </w:r>
      <w:r>
        <w:rPr>
          <w:sz w:val="28"/>
          <w:szCs w:val="28"/>
        </w:rPr>
        <w:fldChar w:fldCharType="begin"/>
      </w:r>
      <w:r>
        <w:rPr>
          <w:sz w:val="28"/>
          <w:szCs w:val="28"/>
        </w:rPr>
        <w:instrText xml:space="preserve"> HYPERLINK "http://www.consultant.ru/cabinet/stat/fd/2022-07-25/click/consultant/?dst=http%3A%2F%2Fwww.consultant.ru%2Fdocument%2Fcons_doc_LAW_422665%2F&amp;utm_campaign=fd&amp;utm_source=consultant&amp;utm_medium=email&amp;utm_content=body" \t "_blank" </w:instrText>
      </w:r>
      <w:r>
        <w:rPr>
          <w:sz w:val="28"/>
          <w:szCs w:val="28"/>
        </w:rPr>
        <w:fldChar w:fldCharType="separate"/>
      </w:r>
      <w:r>
        <w:rPr>
          <w:rStyle w:val="6"/>
          <w:b/>
          <w:bCs/>
          <w:color w:val="auto"/>
          <w:sz w:val="28"/>
          <w:szCs w:val="28"/>
          <w:u w:val="none"/>
        </w:rPr>
        <w:t>информации Банка России от 22.07.2022</w:t>
      </w:r>
      <w:r>
        <w:rPr>
          <w:rStyle w:val="6"/>
          <w:b/>
          <w:bCs/>
          <w:color w:val="auto"/>
          <w:sz w:val="28"/>
          <w:szCs w:val="28"/>
          <w:u w:val="none"/>
        </w:rPr>
        <w:fldChar w:fldCharType="end"/>
      </w:r>
      <w:r>
        <w:rPr>
          <w:b/>
          <w:sz w:val="28"/>
          <w:szCs w:val="28"/>
        </w:rPr>
        <w:t xml:space="preserve"> ключевая ставка Банка России снижена до 8,00% годовых.</w:t>
      </w:r>
    </w:p>
    <w:p>
      <w:pPr>
        <w:pStyle w:val="8"/>
        <w:spacing w:before="0" w:beforeAutospacing="0" w:after="0" w:afterAutospacing="0"/>
        <w:ind w:firstLine="567"/>
        <w:jc w:val="both"/>
        <w:rPr>
          <w:sz w:val="28"/>
          <w:szCs w:val="28"/>
        </w:rPr>
      </w:pPr>
      <w:r>
        <w:rPr>
          <w:sz w:val="28"/>
          <w:szCs w:val="28"/>
        </w:rPr>
        <w:t xml:space="preserve">Сообщается, в частности, что текущие темпы прироста потребительских цен остаются низкими, способствуя дальнейшему замедлению годовой инфляции. Инфляционные ожидания населения и бизнеса заметно уменьшились, достигнув уровней весны 2021 года. Снижение деловой активности происходит медленнее, при этом внешние условия для российской экономики остаются сложными и по-прежнему значительно ограничивают экономическую деятельность. </w:t>
      </w:r>
    </w:p>
    <w:p>
      <w:pPr>
        <w:pStyle w:val="8"/>
        <w:spacing w:before="0" w:beforeAutospacing="0" w:after="0" w:afterAutospacing="0"/>
        <w:ind w:firstLine="567"/>
        <w:jc w:val="both"/>
        <w:rPr>
          <w:sz w:val="28"/>
          <w:szCs w:val="28"/>
        </w:rPr>
      </w:pPr>
      <w:r>
        <w:rPr>
          <w:sz w:val="28"/>
          <w:szCs w:val="28"/>
        </w:rPr>
        <w:t xml:space="preserve">Банк России будет оценивать целесообразность снижения ключевой ставки во втором полугодии 2022 года. </w:t>
      </w:r>
    </w:p>
    <w:p>
      <w:pPr>
        <w:pStyle w:val="8"/>
        <w:spacing w:before="0" w:beforeAutospacing="0" w:after="0" w:afterAutospacing="0"/>
        <w:ind w:firstLine="567"/>
        <w:jc w:val="both"/>
        <w:rPr>
          <w:sz w:val="28"/>
          <w:szCs w:val="28"/>
        </w:rPr>
      </w:pPr>
      <w:r>
        <w:rPr>
          <w:sz w:val="28"/>
          <w:szCs w:val="28"/>
        </w:rPr>
        <w:t>Следующее заседание Совета директоров Банка России, на котором будет рассматриваться вопрос об уровне ключевой ставки, запланировано на 16 сентября 2022 года.</w:t>
      </w:r>
    </w:p>
    <w:p>
      <w:pPr>
        <w:pStyle w:val="8"/>
        <w:spacing w:before="0" w:beforeAutospacing="0" w:after="0" w:afterAutospacing="0"/>
        <w:jc w:val="both"/>
        <w:rPr>
          <w:sz w:val="28"/>
          <w:szCs w:val="28"/>
        </w:rPr>
      </w:pPr>
    </w:p>
    <w:p>
      <w:pPr>
        <w:pStyle w:val="8"/>
        <w:spacing w:before="0" w:beforeAutospacing="0" w:after="0" w:afterAutospacing="0"/>
        <w:ind w:firstLine="567"/>
        <w:jc w:val="both"/>
        <w:rPr>
          <w:sz w:val="28"/>
          <w:szCs w:val="28"/>
        </w:rPr>
      </w:pPr>
      <w:r>
        <w:rPr>
          <w:sz w:val="28"/>
          <w:szCs w:val="28"/>
        </w:rPr>
        <w:fldChar w:fldCharType="begin"/>
      </w:r>
      <w:r>
        <w:rPr>
          <w:sz w:val="28"/>
          <w:szCs w:val="28"/>
        </w:rPr>
        <w:instrText xml:space="preserve"> HYPERLINK "http://www.consultant.ru/cabinet/stat/fd/2022-07-26/click/consultant/?dst=http%3A%2F%2Fwww.consultant.ru%2Fdocument%2Fcons_doc_LAW_422747%2F&amp;utm_campaign=fd&amp;utm_source=consultant&amp;utm_medium=email&amp;utm_content=body" \t "_blank" </w:instrText>
      </w:r>
      <w:r>
        <w:rPr>
          <w:sz w:val="28"/>
          <w:szCs w:val="28"/>
        </w:rPr>
        <w:fldChar w:fldCharType="separate"/>
      </w:r>
      <w:r>
        <w:rPr>
          <w:rStyle w:val="6"/>
          <w:b/>
          <w:bCs/>
          <w:color w:val="auto"/>
          <w:sz w:val="28"/>
          <w:szCs w:val="28"/>
          <w:u w:val="none"/>
        </w:rPr>
        <w:t xml:space="preserve"> Письмом ФНС России от 21.07.2022 N БС-4-11/9399@ "О налогообложении доходов физических лиц"</w:t>
      </w:r>
      <w:r>
        <w:rPr>
          <w:rStyle w:val="6"/>
          <w:b/>
          <w:bCs/>
          <w:color w:val="auto"/>
          <w:sz w:val="28"/>
          <w:szCs w:val="28"/>
          <w:u w:val="none"/>
        </w:rPr>
        <w:fldChar w:fldCharType="end"/>
      </w:r>
      <w:r>
        <w:rPr>
          <w:sz w:val="28"/>
          <w:szCs w:val="28"/>
        </w:rPr>
        <w:t xml:space="preserve"> даны разъяснения по вопросу налогообложения доходов, получаемых физическими лицами за соответствующий налоговый период от продажи объектов недвижимого имущества. </w:t>
      </w:r>
    </w:p>
    <w:p>
      <w:pPr>
        <w:pStyle w:val="8"/>
        <w:spacing w:before="0" w:beforeAutospacing="0" w:after="0" w:afterAutospacing="0"/>
        <w:ind w:firstLine="567"/>
        <w:jc w:val="both"/>
        <w:rPr>
          <w:sz w:val="28"/>
          <w:szCs w:val="28"/>
        </w:rPr>
      </w:pPr>
      <w:r>
        <w:rPr>
          <w:sz w:val="28"/>
          <w:szCs w:val="28"/>
        </w:rPr>
        <w:t>Сообщается, в частности, что на основании подпункта 4 пункта 3 статьи 217.1 НК РФ минимальный предельный срок владения объектом недвижимого имущества составляет три года, в случае если в собственности налогоплательщика (включая совместную собственность супругов) на дату государственной регистрации перехода права собственности от налогоплательщика к покупателю на проданный объект недвижимого имущества нет   иного жилого помещения (доли в праве собственности на жилое помещение)</w:t>
      </w:r>
      <w:r>
        <w:rPr>
          <w:sz w:val="28"/>
          <w:szCs w:val="28"/>
          <w:u w:val="single"/>
        </w:rPr>
        <w:t xml:space="preserve">. </w:t>
      </w:r>
      <w:r>
        <w:rPr>
          <w:sz w:val="28"/>
          <w:szCs w:val="28"/>
        </w:rPr>
        <w:t xml:space="preserve">На основании абзаца второго подпункта 4 пункта 3 статьи 217.1 НК РФ в целях указанного подпункта не учитывается жилое помещение (доля в праве собственности на жилое помещение), приобретенное (приобретенная) в собственность налогоплательщика и (или) его супруга (супруги) в течение 90 календарных дней до даты государственной регистрации перехода права собственности на проданное жилое помещение (проданную долю в праве собственности на жилое помещение) от налогоплательщика к покупателю. </w:t>
      </w:r>
    </w:p>
    <w:p>
      <w:pPr>
        <w:pStyle w:val="8"/>
        <w:spacing w:before="0" w:beforeAutospacing="0" w:after="0" w:afterAutospacing="0"/>
        <w:ind w:firstLine="567"/>
        <w:jc w:val="both"/>
        <w:rPr>
          <w:sz w:val="28"/>
          <w:szCs w:val="28"/>
        </w:rPr>
      </w:pPr>
      <w:r>
        <w:rPr>
          <w:sz w:val="28"/>
          <w:szCs w:val="28"/>
        </w:rPr>
        <w:t xml:space="preserve">Для целей применения положения подпункта 4 пункта 3 статьи 217.1 НК РФ имеет значение наличие (отсутствие) иного жилого помещения именно на календарную дату государственной регистрации перехода права собственности от налогоплательщика к покупателю на проданное жилое помещение. </w:t>
      </w:r>
    </w:p>
    <w:p>
      <w:pPr>
        <w:pStyle w:val="8"/>
        <w:spacing w:before="0" w:beforeAutospacing="0" w:after="0" w:afterAutospacing="0"/>
        <w:ind w:firstLine="567"/>
        <w:jc w:val="both"/>
        <w:rPr>
          <w:sz w:val="28"/>
          <w:szCs w:val="28"/>
        </w:rPr>
      </w:pPr>
      <w:r>
        <w:rPr>
          <w:sz w:val="28"/>
          <w:szCs w:val="28"/>
        </w:rPr>
        <w:t>Учитывая изложенное, при налогообложении доходов физического лица, полученных от продажи нескольких жилых помещений, находившихся в собственности налогоплательщика более трех лет и государственная регистрация перехода права собственности на которые от налогоплательщика к покупателю осуществлена в один день, основания для применения положений, предусмотренных подпунктом 4 пункта 3 статьи 217.1 НК РФ, отсутствуют.</w:t>
      </w:r>
    </w:p>
    <w:p>
      <w:pPr>
        <w:pStyle w:val="8"/>
        <w:spacing w:before="0" w:beforeAutospacing="0" w:after="0" w:afterAutospacing="0"/>
        <w:ind w:firstLine="567"/>
        <w:jc w:val="both"/>
        <w:rPr>
          <w:sz w:val="28"/>
          <w:szCs w:val="28"/>
        </w:rPr>
      </w:pPr>
    </w:p>
    <w:p>
      <w:pPr>
        <w:pStyle w:val="8"/>
        <w:spacing w:before="0" w:beforeAutospacing="0" w:after="0" w:afterAutospacing="0"/>
        <w:ind w:firstLine="567"/>
        <w:jc w:val="both"/>
        <w:rPr>
          <w:sz w:val="28"/>
          <w:szCs w:val="28"/>
        </w:rPr>
      </w:pPr>
      <w:r>
        <w:rPr>
          <w:sz w:val="28"/>
          <w:szCs w:val="28"/>
        </w:rPr>
        <w:fldChar w:fldCharType="begin"/>
      </w:r>
      <w:r>
        <w:rPr>
          <w:sz w:val="28"/>
          <w:szCs w:val="28"/>
        </w:rPr>
        <w:instrText xml:space="preserve"> HYPERLINK "http://www.consultant.ru/cabinet/stat/fd/2022-07-26/click/consultant/?dst=http%3A%2F%2Fwww.consultant.ru%2Fdocument%2Fcons_doc_LAW_422819%2F&amp;utm_campaign=fd&amp;utm_source=consultant&amp;utm_medium=email&amp;utm_content=body" \t "_blank" </w:instrText>
      </w:r>
      <w:r>
        <w:rPr>
          <w:sz w:val="28"/>
          <w:szCs w:val="28"/>
        </w:rPr>
        <w:fldChar w:fldCharType="separate"/>
      </w:r>
      <w:r>
        <w:rPr>
          <w:rStyle w:val="6"/>
          <w:b/>
          <w:bCs/>
          <w:color w:val="auto"/>
          <w:sz w:val="28"/>
          <w:szCs w:val="28"/>
          <w:u w:val="none"/>
        </w:rPr>
        <w:t xml:space="preserve"> Письмом от 25.07.2022 N 01и-809/22 "О соблюдении температурного режима"</w:t>
      </w:r>
      <w:r>
        <w:rPr>
          <w:rStyle w:val="6"/>
          <w:b/>
          <w:bCs/>
          <w:color w:val="auto"/>
          <w:sz w:val="28"/>
          <w:szCs w:val="28"/>
          <w:u w:val="none"/>
        </w:rPr>
        <w:fldChar w:fldCharType="end"/>
      </w:r>
      <w:r>
        <w:rPr>
          <w:sz w:val="28"/>
          <w:szCs w:val="28"/>
        </w:rPr>
        <w:t xml:space="preserve"> </w:t>
      </w:r>
      <w:r>
        <w:rPr>
          <w:b/>
          <w:bCs/>
          <w:sz w:val="28"/>
          <w:szCs w:val="28"/>
        </w:rPr>
        <w:t xml:space="preserve">Росздравнадзор, </w:t>
      </w:r>
      <w:r>
        <w:rPr>
          <w:sz w:val="28"/>
          <w:szCs w:val="28"/>
        </w:rPr>
        <w:t>ввиду аномально жаркой погоды, напоминает медицинским и аптечным организациям о необходимости соблюдения температурного режима в помещениях больниц, поликлиник, аптек, а также соблюдении правил хранения лекарственных препаратов.</w:t>
      </w:r>
    </w:p>
    <w:p>
      <w:pPr>
        <w:pStyle w:val="8"/>
        <w:spacing w:before="0" w:beforeAutospacing="0" w:after="0" w:afterAutospacing="0"/>
        <w:ind w:firstLine="567"/>
        <w:jc w:val="both"/>
        <w:rPr>
          <w:sz w:val="28"/>
          <w:szCs w:val="28"/>
        </w:rPr>
      </w:pPr>
      <w:r>
        <w:rPr>
          <w:sz w:val="28"/>
          <w:szCs w:val="28"/>
        </w:rPr>
        <w:t>Несоблюдение условий хранения лекарственных средств, в том числе требующих особых условий хранения, относится к грубым нарушениям лицензионных требований. Нарушение правил хранения лекарственных препаратов приводит к снижению терапевтических свойств и может создать угрозу жизни или причинить вред здоровью граждан.</w:t>
      </w:r>
    </w:p>
    <w:p>
      <w:pPr>
        <w:pStyle w:val="8"/>
        <w:spacing w:before="0" w:beforeAutospacing="0" w:after="0" w:afterAutospacing="0"/>
        <w:ind w:firstLine="567"/>
        <w:jc w:val="both"/>
        <w:rPr>
          <w:sz w:val="28"/>
          <w:szCs w:val="28"/>
        </w:rPr>
      </w:pPr>
      <w:r>
        <w:rPr>
          <w:sz w:val="28"/>
          <w:szCs w:val="28"/>
        </w:rPr>
        <w:t>Росздравнадзор рекомендует руководителям аптечных и медицинских организаций усилить внутренний контроль за соблюдением температурного режима в помещениях организаций, обеспечить кондиционирование помещений, соблюдать правила хранения и перевозки лекарственных препаратов, в том числе термолабильных лекарственных препаратов.</w:t>
      </w:r>
    </w:p>
    <w:p>
      <w:pPr>
        <w:pStyle w:val="2"/>
        <w:spacing w:before="0" w:beforeAutospacing="0" w:after="0" w:afterAutospacing="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 </w:t>
      </w:r>
    </w:p>
    <w:p>
      <w:pPr>
        <w:pStyle w:val="8"/>
        <w:spacing w:before="0" w:beforeAutospacing="0" w:after="0" w:afterAutospacing="0"/>
        <w:ind w:firstLine="567"/>
        <w:jc w:val="both"/>
        <w:rPr>
          <w:sz w:val="28"/>
          <w:szCs w:val="28"/>
        </w:rPr>
      </w:pPr>
      <w:r>
        <w:rPr>
          <w:sz w:val="28"/>
          <w:szCs w:val="28"/>
        </w:rPr>
        <w:fldChar w:fldCharType="begin"/>
      </w:r>
      <w:r>
        <w:rPr>
          <w:sz w:val="28"/>
          <w:szCs w:val="28"/>
        </w:rPr>
        <w:instrText xml:space="preserve"> HYPERLINK "http://www.consultant.ru/cabinet/stat/fd/2022-07-28/click/consultant/?dst=http%3A%2F%2Fwww.consultant.ru%2Fdocument%2Fcons_doc_LAW_422918%2F&amp;utm_campaign=fd&amp;utm_source=consultant&amp;utm_medium=email&amp;utm_content=body" \t "_blank" </w:instrText>
      </w:r>
      <w:r>
        <w:rPr>
          <w:sz w:val="28"/>
          <w:szCs w:val="28"/>
        </w:rPr>
        <w:fldChar w:fldCharType="separate"/>
      </w:r>
      <w:r>
        <w:rPr>
          <w:rStyle w:val="6"/>
          <w:b/>
          <w:bCs/>
          <w:color w:val="auto"/>
          <w:sz w:val="28"/>
          <w:szCs w:val="28"/>
          <w:u w:val="none"/>
        </w:rPr>
        <w:t>По информации ФНС России расширен перечень условий для получения вычета за медицинские услуги</w:t>
      </w:r>
      <w:r>
        <w:rPr>
          <w:rStyle w:val="6"/>
          <w:b/>
          <w:bCs/>
          <w:color w:val="auto"/>
          <w:sz w:val="28"/>
          <w:szCs w:val="28"/>
          <w:u w:val="none"/>
        </w:rPr>
        <w:fldChar w:fldCharType="end"/>
      </w:r>
      <w:r>
        <w:rPr>
          <w:sz w:val="28"/>
          <w:szCs w:val="28"/>
        </w:rPr>
        <w:t xml:space="preserve">. </w:t>
      </w:r>
    </w:p>
    <w:p>
      <w:pPr>
        <w:pStyle w:val="9"/>
        <w:spacing w:before="0" w:beforeAutospacing="0" w:after="0" w:afterAutospacing="0"/>
        <w:ind w:firstLine="567"/>
        <w:jc w:val="both"/>
        <w:rPr>
          <w:sz w:val="28"/>
          <w:szCs w:val="28"/>
        </w:rPr>
      </w:pPr>
      <w:r>
        <w:rPr>
          <w:sz w:val="28"/>
          <w:szCs w:val="28"/>
        </w:rPr>
        <w:t xml:space="preserve">  Гражданин может получить социальный налоговый вычет по НДФЛ за медицинские услуги по расходам на детей возрастом до 24 лет, в том числе усыновленных. </w:t>
      </w:r>
    </w:p>
    <w:p>
      <w:pPr>
        <w:pStyle w:val="8"/>
        <w:spacing w:before="0" w:beforeAutospacing="0" w:after="0" w:afterAutospacing="0"/>
        <w:ind w:firstLine="567"/>
        <w:jc w:val="both"/>
        <w:rPr>
          <w:sz w:val="28"/>
          <w:szCs w:val="28"/>
        </w:rPr>
      </w:pPr>
      <w:r>
        <w:rPr>
          <w:sz w:val="28"/>
          <w:szCs w:val="28"/>
        </w:rPr>
        <w:t xml:space="preserve">Для этого они должны проходить очную форму обучения в образовательных организациях. Остальные условия для получения вычета остались те же. Указанная поправка применяется к расходам, понесенным с 2022 года. </w:t>
      </w:r>
    </w:p>
    <w:p>
      <w:pPr>
        <w:pStyle w:val="8"/>
        <w:spacing w:before="0" w:beforeAutospacing="0" w:after="0" w:afterAutospacing="0"/>
        <w:ind w:firstLine="567"/>
        <w:jc w:val="both"/>
        <w:rPr>
          <w:sz w:val="28"/>
          <w:szCs w:val="28"/>
        </w:rPr>
      </w:pPr>
      <w:r>
        <w:rPr>
          <w:sz w:val="28"/>
          <w:szCs w:val="28"/>
        </w:rPr>
        <w:t xml:space="preserve">При этом взносы, уплаченные налогоплательщиком по договорам добровольного страхования своих детей в возрасте до 24 лет, обучающихся по очной форме, также будут учитываться при предоставлении социального налогового вычета за медицинские услуги по расходам на них. </w:t>
      </w:r>
    </w:p>
    <w:p>
      <w:pPr>
        <w:pStyle w:val="8"/>
        <w:spacing w:before="0" w:beforeAutospacing="0" w:after="0" w:afterAutospacing="0"/>
        <w:ind w:firstLine="567"/>
        <w:jc w:val="both"/>
        <w:rPr>
          <w:sz w:val="28"/>
          <w:szCs w:val="28"/>
        </w:rPr>
      </w:pPr>
      <w:r>
        <w:rPr>
          <w:sz w:val="28"/>
          <w:szCs w:val="28"/>
        </w:rPr>
        <w:t>Данный вычет также распространяется на граждан, несущих обязанности опекуна или попечителя над другим лицом, который был его подопечным, после прекращения опеки или попечительства, то есть до 24 лет при соблюдении указанных выше условий.</w:t>
      </w:r>
    </w:p>
    <w:p>
      <w:pPr>
        <w:pStyle w:val="8"/>
        <w:spacing w:before="0" w:beforeAutospacing="0" w:after="0" w:afterAutospacing="0"/>
        <w:ind w:firstLine="567"/>
        <w:jc w:val="both"/>
        <w:rPr>
          <w:sz w:val="28"/>
          <w:szCs w:val="28"/>
        </w:rPr>
      </w:pPr>
    </w:p>
    <w:p>
      <w:pPr>
        <w:pStyle w:val="8"/>
        <w:spacing w:before="0" w:beforeAutospacing="0" w:after="0" w:afterAutospacing="0"/>
        <w:ind w:firstLine="709"/>
        <w:jc w:val="both"/>
        <w:rPr>
          <w:sz w:val="28"/>
          <w:szCs w:val="28"/>
        </w:rPr>
      </w:pPr>
      <w:r>
        <w:rPr>
          <w:sz w:val="28"/>
          <w:szCs w:val="28"/>
        </w:rPr>
        <w:fldChar w:fldCharType="begin"/>
      </w:r>
      <w:r>
        <w:rPr>
          <w:sz w:val="28"/>
          <w:szCs w:val="28"/>
        </w:rPr>
        <w:instrText xml:space="preserve"> HYPERLINK "http://www.consultant.ru/cabinet/stat/fd/2022-07-18/click/consultant/?dst=http%3A%2F%2Fwww.consultant.ru%2Fdocument%2Fcons_doc_LAW_422161%2F&amp;utm_campaign=fd&amp;utm_source=consultant&amp;utm_medium=email&amp;utm_content=body" \t "_blank" </w:instrText>
      </w:r>
      <w:r>
        <w:rPr>
          <w:sz w:val="28"/>
          <w:szCs w:val="28"/>
        </w:rPr>
        <w:fldChar w:fldCharType="separate"/>
      </w:r>
      <w:r>
        <w:rPr>
          <w:rStyle w:val="6"/>
          <w:b/>
          <w:bCs/>
          <w:color w:val="auto"/>
          <w:sz w:val="28"/>
          <w:szCs w:val="28"/>
          <w:u w:val="none"/>
        </w:rPr>
        <w:t>По Информации МВД России "В России начала функционировать "Витрина данных ГИБДД"</w:t>
      </w:r>
      <w:r>
        <w:rPr>
          <w:rStyle w:val="6"/>
          <w:b/>
          <w:bCs/>
          <w:color w:val="auto"/>
          <w:sz w:val="28"/>
          <w:szCs w:val="28"/>
          <w:u w:val="none"/>
        </w:rPr>
        <w:fldChar w:fldCharType="end"/>
      </w:r>
      <w:r>
        <w:rPr>
          <w:rStyle w:val="7"/>
          <w:sz w:val="28"/>
          <w:szCs w:val="28"/>
        </w:rPr>
        <w:t xml:space="preserve"> </w:t>
      </w:r>
      <w:r>
        <w:rPr>
          <w:b/>
          <w:sz w:val="28"/>
          <w:szCs w:val="28"/>
        </w:rPr>
        <w:t>введен</w:t>
      </w:r>
      <w:r>
        <w:rPr>
          <w:b/>
          <w:sz w:val="28"/>
          <w:szCs w:val="28"/>
          <w:lang w:val="ru-RU"/>
        </w:rPr>
        <w:t>н</w:t>
      </w:r>
      <w:r>
        <w:rPr>
          <w:b/>
          <w:sz w:val="28"/>
          <w:szCs w:val="28"/>
        </w:rPr>
        <w:t>а</w:t>
      </w:r>
      <w:r>
        <w:rPr>
          <w:b/>
          <w:sz w:val="28"/>
          <w:szCs w:val="28"/>
          <w:lang w:val="ru-RU"/>
        </w:rPr>
        <w:t>я</w:t>
      </w:r>
      <w:r>
        <w:rPr>
          <w:b/>
          <w:sz w:val="28"/>
          <w:szCs w:val="28"/>
        </w:rPr>
        <w:t xml:space="preserve"> в эксплуатацию</w:t>
      </w:r>
      <w:r>
        <w:rPr>
          <w:rFonts w:hint="default"/>
          <w:b/>
          <w:sz w:val="28"/>
          <w:szCs w:val="28"/>
          <w:lang w:val="ru-RU"/>
        </w:rPr>
        <w:t xml:space="preserve"> </w:t>
      </w:r>
      <w:r>
        <w:rPr>
          <w:b/>
          <w:sz w:val="28"/>
          <w:szCs w:val="28"/>
        </w:rPr>
        <w:t xml:space="preserve">с 1 июля  </w:t>
      </w:r>
      <w:r>
        <w:rPr>
          <w:b/>
          <w:sz w:val="28"/>
          <w:szCs w:val="28"/>
          <w:lang w:val="ru-RU"/>
        </w:rPr>
        <w:t>и</w:t>
      </w:r>
      <w:r>
        <w:rPr>
          <w:rFonts w:hint="default"/>
          <w:b/>
          <w:sz w:val="28"/>
          <w:szCs w:val="28"/>
          <w:lang w:val="ru-RU"/>
        </w:rPr>
        <w:t xml:space="preserve"> </w:t>
      </w:r>
      <w:r>
        <w:rPr>
          <w:b/>
          <w:sz w:val="28"/>
          <w:szCs w:val="28"/>
        </w:rPr>
        <w:t>содержащая сведения об эксплуатируемых транспортных средствах</w:t>
      </w:r>
      <w:r>
        <w:rPr>
          <w:sz w:val="28"/>
          <w:szCs w:val="28"/>
        </w:rPr>
        <w:t xml:space="preserve">. </w:t>
      </w:r>
    </w:p>
    <w:p>
      <w:pPr>
        <w:pStyle w:val="8"/>
        <w:spacing w:before="0" w:beforeAutospacing="0" w:after="0" w:afterAutospacing="0"/>
        <w:ind w:firstLine="709"/>
        <w:jc w:val="both"/>
        <w:rPr>
          <w:sz w:val="28"/>
          <w:szCs w:val="28"/>
        </w:rPr>
      </w:pPr>
      <w:r>
        <w:rPr>
          <w:sz w:val="28"/>
          <w:szCs w:val="28"/>
        </w:rPr>
        <w:t>С применением "Витрины данных ГИБДД" осуществля</w:t>
      </w:r>
      <w:r>
        <w:rPr>
          <w:sz w:val="28"/>
          <w:szCs w:val="28"/>
          <w:lang w:val="ru-RU"/>
        </w:rPr>
        <w:t>е</w:t>
      </w:r>
      <w:r>
        <w:rPr>
          <w:sz w:val="28"/>
          <w:szCs w:val="28"/>
        </w:rPr>
        <w:t xml:space="preserve">тся предоставление сведений о транспортном средстве в личный кабинет пользователя ЕПГУ, в Минтруд России в рамках социальных выплат, а также запущен электронный сервис по предоставлению свидетельства о регистрации транспортного средства с использованием мобильного приложения "Госуслуги Авто". </w:t>
      </w:r>
    </w:p>
    <w:p>
      <w:pPr>
        <w:pStyle w:val="8"/>
        <w:spacing w:before="0" w:beforeAutospacing="0" w:after="0" w:afterAutospacing="0"/>
        <w:ind w:firstLine="709"/>
        <w:jc w:val="both"/>
        <w:rPr>
          <w:sz w:val="28"/>
          <w:szCs w:val="28"/>
        </w:rPr>
      </w:pPr>
      <w:r>
        <w:rPr>
          <w:sz w:val="28"/>
          <w:szCs w:val="28"/>
        </w:rPr>
        <w:t>С помощью сервиса пользователь получит возможность сгруппировать все сведения о собственном автомобиле, а в дальнейшем и о водительских документах в одном месте в удобном цифровом формате.</w:t>
      </w:r>
    </w:p>
    <w:p>
      <w:pPr>
        <w:spacing w:after="0"/>
        <w:jc w:val="both"/>
        <w:rPr>
          <w:rFonts w:ascii="Times New Roman" w:hAnsi="Times New Roman" w:cs="Times New Roman"/>
          <w:sz w:val="28"/>
          <w:szCs w:val="28"/>
        </w:rPr>
      </w:pPr>
    </w:p>
    <w:p>
      <w:pPr>
        <w:pStyle w:val="8"/>
        <w:spacing w:before="0" w:beforeAutospacing="0" w:after="0" w:afterAutospacing="0"/>
        <w:ind w:firstLine="567"/>
        <w:jc w:val="both"/>
        <w:rPr>
          <w:b/>
          <w:sz w:val="28"/>
          <w:szCs w:val="28"/>
        </w:rPr>
      </w:pPr>
      <w:r>
        <w:rPr>
          <w:sz w:val="28"/>
          <w:szCs w:val="28"/>
        </w:rPr>
        <w:fldChar w:fldCharType="begin"/>
      </w:r>
      <w:r>
        <w:rPr>
          <w:sz w:val="28"/>
          <w:szCs w:val="28"/>
        </w:rPr>
        <w:instrText xml:space="preserve"> HYPERLINK "http://www.consultant.ru/cabinet/stat/fd/2022-07-26/click/consultant/?dst=http%3A%2F%2Fwww.consultant.ru%2Fdocument%2Fcons_doc_LAW_422759%2F&amp;utm_campaign=fd&amp;utm_source=consultant&amp;utm_medium=email&amp;utm_content=body" \t "_blank" </w:instrText>
      </w:r>
      <w:r>
        <w:rPr>
          <w:sz w:val="28"/>
          <w:szCs w:val="28"/>
        </w:rPr>
        <w:fldChar w:fldCharType="separate"/>
      </w:r>
      <w:r>
        <w:rPr>
          <w:rStyle w:val="6"/>
          <w:b/>
          <w:bCs/>
          <w:color w:val="auto"/>
          <w:sz w:val="28"/>
          <w:szCs w:val="28"/>
          <w:u w:val="none"/>
        </w:rPr>
        <w:t>Решением   от 22.06.2022 N АКПИ22-375 «О признании недействующим абзаца третьего пункта 5.3.1 Правил и норм технической эксплуатации жилищного фонда, утв. Постановлением Госстроя РФ от 27.09.2003 N 170»</w:t>
      </w:r>
      <w:r>
        <w:rPr>
          <w:rStyle w:val="6"/>
          <w:b/>
          <w:bCs/>
          <w:color w:val="auto"/>
          <w:sz w:val="28"/>
          <w:szCs w:val="28"/>
          <w:u w:val="none"/>
        </w:rPr>
        <w:fldChar w:fldCharType="end"/>
      </w:r>
      <w:r>
        <w:rPr>
          <w:b/>
          <w:sz w:val="28"/>
          <w:szCs w:val="28"/>
        </w:rPr>
        <w:t xml:space="preserve"> Верховный Суд РФ напомнил о недопустимости снижения температуры горячей воды в системах горячего водоснабжения в местах водоразбора ниже 60 градусов от установленной санитарными правилами.</w:t>
      </w:r>
    </w:p>
    <w:p>
      <w:pPr>
        <w:pStyle w:val="8"/>
        <w:spacing w:before="0" w:beforeAutospacing="0" w:after="0" w:afterAutospacing="0"/>
        <w:ind w:firstLine="567"/>
        <w:jc w:val="both"/>
        <w:rPr>
          <w:sz w:val="28"/>
          <w:szCs w:val="28"/>
        </w:rPr>
      </w:pPr>
      <w:r>
        <w:rPr>
          <w:sz w:val="28"/>
          <w:szCs w:val="28"/>
        </w:rPr>
        <w:t>Признан не действующим со дня вступления решения суда в законную силу абзац третий пункта 5.3.1 Правил и норм технической эксплуатации жилищного фонда, утвержденных Постановлением Государственного комитета РФ по строительству и жилищно-коммунальному комплексу от 27 сентября 2003 г. N 170, в той мере, в какой он допускает отклонение температуры горячей воды в точке водоразбора в закрытых системах горячего водоснабжения от требования законодательства РФ о техническом регулировании.</w:t>
      </w:r>
    </w:p>
    <w:p>
      <w:pPr>
        <w:pStyle w:val="8"/>
        <w:spacing w:before="0" w:beforeAutospacing="0" w:after="0" w:afterAutospacing="0"/>
        <w:ind w:firstLine="567"/>
        <w:jc w:val="both"/>
        <w:rPr>
          <w:sz w:val="28"/>
          <w:szCs w:val="28"/>
        </w:rPr>
      </w:pPr>
      <w:r>
        <w:rPr>
          <w:sz w:val="28"/>
          <w:szCs w:val="28"/>
        </w:rPr>
        <w:t>Оспариваемый нормативный правовой акт, определяя правила по эксплуатации, капремонту и реконструкции объектов ЖКХ, обеспечению сохранности и содержанию жилищного фонда, технической инвентаризации, являющиеся обязательными для исполнения органами исполнительной власти субъектов РФ, органами государственного контроля и надзора, органами местного самоуправления, допускает снижение температуры воды в системе закрытого горячего водоснабжения ниже 60 C.</w:t>
      </w:r>
    </w:p>
    <w:p>
      <w:pPr>
        <w:pStyle w:val="8"/>
        <w:spacing w:before="0" w:beforeAutospacing="0" w:after="0" w:afterAutospacing="0"/>
        <w:ind w:firstLine="567"/>
        <w:jc w:val="both"/>
        <w:rPr>
          <w:sz w:val="28"/>
          <w:szCs w:val="28"/>
        </w:rPr>
      </w:pPr>
      <w:r>
        <w:rPr>
          <w:sz w:val="28"/>
          <w:szCs w:val="28"/>
        </w:rPr>
        <w:t>В соответствии с пунктом 84 СанПиН 2.1.3684-21 температура горячей воды в местах водоразбора централизованной системы горячего водоснабжения должна быть не ниже плюс 60 C и не выше плюс 75 C. Указанные санитарные правила и нормы введены в действие с 1 марта 2021 года и являются обязательными для исполнения органами исполнительной власти субъектов РФ, органами местного самоуправления, юридическими лицами и гражданами, в том числе индивидуальными предпринимателями.</w:t>
      </w:r>
    </w:p>
    <w:p>
      <w:pPr>
        <w:pStyle w:val="8"/>
        <w:spacing w:before="0" w:beforeAutospacing="0" w:after="0" w:afterAutospacing="0"/>
        <w:ind w:firstLine="567"/>
        <w:jc w:val="both"/>
        <w:rPr>
          <w:sz w:val="28"/>
          <w:szCs w:val="28"/>
        </w:rPr>
      </w:pPr>
      <w:r>
        <w:rPr>
          <w:sz w:val="28"/>
          <w:szCs w:val="28"/>
        </w:rPr>
        <w:t>Согласно абзацу первому пункта 6.2 национального стандарта РФ ГОСТ Р 51617-2014 "Услуги жилищно-коммунального хозяйства и управления многоквартирными домами. Коммунальные услуги. Общие требования", утвержденного Приказом Федерального агентства по техническому регулированию и метрологии от 11 июня 2014 г. N 544-ст, коммунальная услуга горячего водоснабжения потребителей в многоквартирном доме осуществляется в соответствии с законодательством РФ и должна обеспечивать круглосуточное, бесперебойное горячее водоснабжение в течение года.</w:t>
      </w:r>
    </w:p>
    <w:p>
      <w:pPr>
        <w:pStyle w:val="8"/>
        <w:spacing w:before="0" w:beforeAutospacing="0" w:after="0" w:afterAutospacing="0"/>
        <w:ind w:firstLine="567"/>
        <w:jc w:val="both"/>
        <w:rPr>
          <w:sz w:val="28"/>
          <w:szCs w:val="28"/>
        </w:rPr>
      </w:pPr>
      <w:r>
        <w:rPr>
          <w:sz w:val="28"/>
          <w:szCs w:val="28"/>
        </w:rPr>
        <w:t>Таким образом, независимо от применяемой системы водоснабжения температура горячей воды должна быть не ниже 60 C и не выше 75 C, что отвечает требованиям технических регламентов, санитарных правил и нормативов.</w:t>
      </w:r>
    </w:p>
    <w:p>
      <w:pPr>
        <w:pStyle w:val="8"/>
        <w:spacing w:before="0" w:beforeAutospacing="0" w:after="0" w:afterAutospacing="0"/>
        <w:ind w:firstLine="567"/>
        <w:jc w:val="both"/>
        <w:rPr>
          <w:sz w:val="28"/>
          <w:szCs w:val="28"/>
        </w:rPr>
      </w:pPr>
      <w:r>
        <w:rPr>
          <w:sz w:val="28"/>
          <w:szCs w:val="28"/>
        </w:rPr>
        <w:t>Вместе с тем недопустимо отклонение температуры горячей воды от параметров, установленных техническим регламентом. Снижение температуры горячей воды в системах горячего водоснабжения в местах водоразбора ниже 60 C от установленной санитарными правилами является нарушением правил предоставления коммунальных услуг.</w:t>
      </w:r>
    </w:p>
    <w:p>
      <w:pPr>
        <w:pStyle w:val="8"/>
        <w:spacing w:before="0" w:beforeAutospacing="0" w:after="0" w:afterAutospacing="0"/>
        <w:ind w:firstLine="567"/>
        <w:jc w:val="both"/>
        <w:rPr>
          <w:sz w:val="28"/>
          <w:szCs w:val="28"/>
        </w:rPr>
      </w:pPr>
      <w:r>
        <w:rPr>
          <w:sz w:val="28"/>
          <w:szCs w:val="28"/>
        </w:rPr>
        <w:t>Верховный Суд в настоящем решении ссылался также на выводы, сделанные им в решении от 31 мая 2013 г. N АКПИ13-394 по аналогичному вопросу.</w:t>
      </w:r>
    </w:p>
    <w:p>
      <w:pPr>
        <w:spacing w:after="0"/>
        <w:jc w:val="both"/>
        <w:rPr>
          <w:rFonts w:ascii="Times New Roman" w:hAnsi="Times New Roman" w:cs="Times New Roman"/>
          <w:sz w:val="28"/>
          <w:szCs w:val="28"/>
        </w:rPr>
      </w:pPr>
    </w:p>
    <w:p>
      <w:pPr>
        <w:pStyle w:val="8"/>
        <w:spacing w:before="0" w:beforeAutospacing="0" w:after="0" w:afterAutospacing="0"/>
        <w:ind w:firstLine="709"/>
        <w:jc w:val="both"/>
        <w:rPr>
          <w:b/>
          <w:bCs/>
          <w:sz w:val="28"/>
          <w:szCs w:val="28"/>
        </w:rPr>
      </w:pPr>
      <w:r>
        <w:rPr>
          <w:sz w:val="28"/>
          <w:szCs w:val="28"/>
        </w:rPr>
        <w:fldChar w:fldCharType="begin"/>
      </w:r>
      <w:r>
        <w:rPr>
          <w:sz w:val="28"/>
          <w:szCs w:val="28"/>
        </w:rPr>
        <w:instrText xml:space="preserve"> HYPERLINK "http://www.consultant.ru/cabinet/stat/fd/2022-07-19/click/consultant/?dst=http%3A%2F%2Fwww.consultant.ru%2Fdocument%2Fcons_doc_LAW_422352%2F&amp;utm_campaign=fd&amp;utm_source=consultant&amp;utm_medium=email&amp;utm_content=body" \t "_blank" </w:instrText>
      </w:r>
      <w:r>
        <w:rPr>
          <w:sz w:val="28"/>
          <w:szCs w:val="28"/>
        </w:rPr>
        <w:fldChar w:fldCharType="separate"/>
      </w:r>
      <w:r>
        <w:rPr>
          <w:rStyle w:val="6"/>
          <w:b/>
          <w:bCs/>
          <w:color w:val="auto"/>
          <w:sz w:val="28"/>
          <w:szCs w:val="28"/>
          <w:u w:val="none"/>
        </w:rPr>
        <w:t>Постановлением от 15.07.2022 N 32-П "По делу о проверке конституционности частей первой и восьмой статьи 332 Трудового кодекса Российской Федерации в связи с жалобой гражданина А.А. Подакова"</w:t>
      </w:r>
      <w:r>
        <w:rPr>
          <w:rStyle w:val="6"/>
          <w:b/>
          <w:bCs/>
          <w:color w:val="auto"/>
          <w:sz w:val="28"/>
          <w:szCs w:val="28"/>
          <w:u w:val="none"/>
        </w:rPr>
        <w:fldChar w:fldCharType="end"/>
      </w:r>
      <w:r>
        <w:rPr>
          <w:rStyle w:val="7"/>
          <w:sz w:val="28"/>
          <w:szCs w:val="28"/>
        </w:rPr>
        <w:t xml:space="preserve"> </w:t>
      </w:r>
      <w:r>
        <w:rPr>
          <w:b/>
          <w:bCs/>
          <w:sz w:val="28"/>
          <w:szCs w:val="28"/>
        </w:rPr>
        <w:t xml:space="preserve">Конституционный суд РФ не допустил ограничения трудовых прав профессорско-преподавательского состава университетов. </w:t>
      </w:r>
    </w:p>
    <w:p>
      <w:pPr>
        <w:pStyle w:val="8"/>
        <w:spacing w:before="0" w:beforeAutospacing="0" w:after="0" w:afterAutospacing="0"/>
        <w:ind w:firstLine="709"/>
        <w:jc w:val="both"/>
        <w:rPr>
          <w:sz w:val="28"/>
          <w:szCs w:val="28"/>
        </w:rPr>
      </w:pPr>
      <w:r>
        <w:rPr>
          <w:sz w:val="28"/>
          <w:szCs w:val="28"/>
        </w:rPr>
        <w:t xml:space="preserve">Не соответствующими Конституции РФ признаны части первая и восьмая статьи 332 ТК РФ, поскольку они допускают произвольное определение работодателем срока трудового договора, заключаемого по итогам конкурса на замещение должности педагогического работника профессорско-преподавательского состава в вузе, а также произвольное определение срока, на который продлевается действие срочного трудового договора при избрании работника по конкурсу на замещение ранее занимаемой им должности, притом что выполняемая по этому договору работа является для работника основной. </w:t>
      </w:r>
    </w:p>
    <w:p>
      <w:pPr>
        <w:pStyle w:val="8"/>
        <w:spacing w:before="0" w:beforeAutospacing="0" w:after="0" w:afterAutospacing="0"/>
        <w:ind w:firstLine="709"/>
        <w:jc w:val="both"/>
        <w:rPr>
          <w:sz w:val="28"/>
          <w:szCs w:val="28"/>
        </w:rPr>
      </w:pPr>
      <w:r>
        <w:rPr>
          <w:sz w:val="28"/>
          <w:szCs w:val="28"/>
        </w:rPr>
        <w:t xml:space="preserve">Конституционный Суд отметил, что заключение с профессорско-преподавательским составом вузов преимущественно краткосрочных трудовых договоров не может быть оправдано ни спецификой педагогической работы, ни особым правовым положением осуществляющих ее работников, избираемых по конкурсу, поскольку это обессмысливает законодательное ограничение случаев заключения срочных трудовых договоров и приводит к нарушению требования о соблюдении баланса конституционных прав и свобод работника и работодателя. </w:t>
      </w:r>
    </w:p>
    <w:p>
      <w:pPr>
        <w:pStyle w:val="8"/>
        <w:spacing w:before="0" w:beforeAutospacing="0" w:after="0" w:afterAutospacing="0"/>
        <w:ind w:firstLine="709"/>
        <w:jc w:val="both"/>
        <w:rPr>
          <w:sz w:val="28"/>
          <w:szCs w:val="28"/>
        </w:rPr>
      </w:pPr>
      <w:r>
        <w:rPr>
          <w:sz w:val="28"/>
          <w:szCs w:val="28"/>
        </w:rPr>
        <w:t xml:space="preserve">Кроме того, такие трудовые договоры не только ограничивают работников в осуществлении конституционных свобод научного творчества и преподавания, но и лишают их возможности реализовать в полной мере свое право на отдых. </w:t>
      </w:r>
    </w:p>
    <w:p>
      <w:pPr>
        <w:pStyle w:val="8"/>
        <w:spacing w:before="0" w:beforeAutospacing="0" w:after="0" w:afterAutospacing="0"/>
        <w:ind w:firstLine="709"/>
        <w:jc w:val="both"/>
        <w:rPr>
          <w:sz w:val="28"/>
          <w:szCs w:val="28"/>
        </w:rPr>
      </w:pPr>
      <w:r>
        <w:rPr>
          <w:sz w:val="28"/>
          <w:szCs w:val="28"/>
        </w:rPr>
        <w:t xml:space="preserve">Федеральному законодателю надлежит в кратчайшие сроки внести в действующее правовое регулирование надлежащие изменения, в том числе: установить минимальный срок избрания по конкурсу на замещение соответствующей должности; предусмотреть обязанность работодателя заключить с лицом, избранным по конкурсу, трудовой договор (продлить ранее заключенный трудовой договор при избрании по конкурсу на замещение той же должности), срок которого должен быть не менее срока избрания, определяемого в соответствии с локальными актами образовательной организации коллегиальным органом управления, который непосредственно проводит конкурс. </w:t>
      </w:r>
    </w:p>
    <w:p>
      <w:pPr>
        <w:pStyle w:val="8"/>
        <w:spacing w:before="0" w:beforeAutospacing="0" w:after="0" w:afterAutospacing="0"/>
        <w:ind w:firstLine="709"/>
        <w:jc w:val="both"/>
        <w:rPr>
          <w:sz w:val="28"/>
          <w:szCs w:val="28"/>
        </w:rPr>
      </w:pPr>
      <w:r>
        <w:rPr>
          <w:sz w:val="28"/>
          <w:szCs w:val="28"/>
        </w:rPr>
        <w:t xml:space="preserve">До внесения соответствующих изменений в действующее правовое регулирование трудовые договоры на замещение должностей педагогических работников профессорско-преподавательского состава могут заключаться как на неопределенный срок, так и на срок, определенный сторонами трудового договора, но не менее трех лет. </w:t>
      </w:r>
    </w:p>
    <w:p>
      <w:pPr>
        <w:pStyle w:val="8"/>
        <w:spacing w:before="0" w:beforeAutospacing="0" w:after="0" w:afterAutospacing="0"/>
        <w:ind w:firstLine="709"/>
        <w:jc w:val="both"/>
        <w:rPr>
          <w:sz w:val="28"/>
          <w:szCs w:val="28"/>
        </w:rPr>
      </w:pPr>
      <w:r>
        <w:rPr>
          <w:sz w:val="28"/>
          <w:szCs w:val="28"/>
        </w:rPr>
        <w:t xml:space="preserve">Исключение составляют случаи, когда трудовой договор заключается впервые либо планируемая учебная нагрузка педагогического работника не предполагает длительную занятость. В указанных случаях допускается заключение трудового договора с педагогическим работником на срок менее трех лет, но не менее чем на один год. </w:t>
      </w:r>
    </w:p>
    <w:p>
      <w:pPr>
        <w:pStyle w:val="8"/>
        <w:spacing w:before="0" w:beforeAutospacing="0" w:after="0" w:afterAutospacing="0"/>
        <w:ind w:firstLine="709"/>
        <w:jc w:val="both"/>
        <w:rPr>
          <w:sz w:val="28"/>
          <w:szCs w:val="28"/>
        </w:rPr>
      </w:pPr>
      <w:r>
        <w:rPr>
          <w:sz w:val="28"/>
          <w:szCs w:val="28"/>
        </w:rPr>
        <w:t>При избрании работника по конкурсу на замещение ранее занимаемой им должности новый трудовой договор может не заключаться, а действие заключенного с таким работником срочного трудового договора продлевается на определенный срок не менее трех лет или на неопределенный срок. В случае сокращения нагрузки на преподавателя в связи с изменением учебных планов допускается продление трудового договора на срок менее трех лет, но не менее чем на один год.</w:t>
      </w:r>
    </w:p>
    <w:p>
      <w:pPr>
        <w:spacing w:after="0"/>
        <w:ind w:firstLine="567"/>
        <w:jc w:val="both"/>
        <w:rPr>
          <w:rFonts w:ascii="Times New Roman" w:hAnsi="Times New Roman" w:cs="Times New Roman"/>
          <w:sz w:val="28"/>
          <w:szCs w:val="28"/>
        </w:rPr>
      </w:pPr>
    </w:p>
    <w:p>
      <w:pPr>
        <w:pStyle w:val="8"/>
        <w:spacing w:before="0" w:beforeAutospacing="0" w:after="0" w:afterAutospacing="0"/>
        <w:ind w:firstLine="709"/>
        <w:jc w:val="both"/>
        <w:rPr>
          <w:sz w:val="28"/>
          <w:szCs w:val="28"/>
        </w:rPr>
      </w:pPr>
    </w:p>
    <w:p>
      <w:pPr>
        <w:jc w:val="right"/>
        <w:rPr>
          <w:rFonts w:ascii="Times New Roman" w:hAnsi="Times New Roman" w:eastAsia="sans-serif"/>
          <w:sz w:val="28"/>
          <w:szCs w:val="28"/>
          <w:shd w:val="clear" w:color="auto" w:fill="FFFFFF"/>
        </w:rPr>
      </w:pPr>
    </w:p>
    <w:p>
      <w:pPr>
        <w:jc w:val="right"/>
        <w:rPr>
          <w:rFonts w:ascii="Times New Roman" w:hAnsi="Times New Roman"/>
          <w:sz w:val="28"/>
          <w:szCs w:val="28"/>
        </w:rPr>
      </w:pPr>
      <w:r>
        <w:rPr>
          <w:rFonts w:ascii="Times New Roman" w:hAnsi="Times New Roman" w:eastAsia="sans-serif"/>
          <w:sz w:val="28"/>
          <w:szCs w:val="28"/>
          <w:shd w:val="clear" w:color="auto" w:fill="FFFFFF"/>
        </w:rPr>
        <w:t>Информация предоставлена</w:t>
      </w:r>
      <w:r>
        <w:rPr>
          <w:rFonts w:ascii="Times New Roman" w:hAnsi="Times New Roman" w:eastAsia="sans-serif"/>
          <w:color w:val="000000"/>
          <w:sz w:val="28"/>
          <w:szCs w:val="28"/>
          <w:shd w:val="clear" w:color="auto" w:fill="FFFFFF"/>
        </w:rPr>
        <w:br w:type="textWrapping"/>
      </w:r>
      <w:r>
        <w:rPr>
          <w:rFonts w:ascii="Times New Roman" w:hAnsi="Times New Roman" w:eastAsia="sans-serif"/>
          <w:color w:val="000000"/>
          <w:sz w:val="28"/>
          <w:szCs w:val="28"/>
          <w:shd w:val="clear" w:color="auto" w:fill="FFFFFF"/>
        </w:rPr>
        <w:t>© КонсультантПлюс, 1997-2022</w:t>
      </w:r>
    </w:p>
    <w:p>
      <w:pPr>
        <w:spacing w:after="0"/>
        <w:ind w:firstLine="709"/>
        <w:jc w:val="both"/>
        <w:rPr>
          <w:sz w:val="28"/>
          <w:szCs w:val="28"/>
        </w:rPr>
      </w:pPr>
    </w:p>
    <w:sectPr>
      <w:pgSz w:w="11906" w:h="16838"/>
      <w:pgMar w:top="1134" w:right="850" w:bottom="1134" w:left="148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611DD0"/>
    <w:rsid w:val="00061A8C"/>
    <w:rsid w:val="00186D58"/>
    <w:rsid w:val="001B217E"/>
    <w:rsid w:val="001E0077"/>
    <w:rsid w:val="00235A78"/>
    <w:rsid w:val="0028381D"/>
    <w:rsid w:val="002A31DC"/>
    <w:rsid w:val="00304F8D"/>
    <w:rsid w:val="004D32E9"/>
    <w:rsid w:val="005C3892"/>
    <w:rsid w:val="00611DD0"/>
    <w:rsid w:val="00620BC4"/>
    <w:rsid w:val="00704394"/>
    <w:rsid w:val="007A2E36"/>
    <w:rsid w:val="00803B1C"/>
    <w:rsid w:val="008C3DBD"/>
    <w:rsid w:val="009E2C08"/>
    <w:rsid w:val="00AA48F5"/>
    <w:rsid w:val="00AB4986"/>
    <w:rsid w:val="00AE07E6"/>
    <w:rsid w:val="00B3346F"/>
    <w:rsid w:val="00BF6211"/>
    <w:rsid w:val="00D012DB"/>
    <w:rsid w:val="2173394F"/>
    <w:rsid w:val="5A416F89"/>
    <w:rsid w:val="6461003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3"/>
    <w:basedOn w:val="1"/>
    <w:next w:val="1"/>
    <w:link w:val="10"/>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ru-RU"/>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FollowedHyperlink"/>
    <w:basedOn w:val="3"/>
    <w:semiHidden/>
    <w:unhideWhenUsed/>
    <w:uiPriority w:val="99"/>
    <w:rPr>
      <w:color w:val="800080" w:themeColor="followedHyperlink"/>
      <w:u w:val="single"/>
    </w:rPr>
  </w:style>
  <w:style w:type="character" w:styleId="6">
    <w:name w:val="Hyperlink"/>
    <w:basedOn w:val="3"/>
    <w:unhideWhenUsed/>
    <w:qFormat/>
    <w:uiPriority w:val="99"/>
    <w:rPr>
      <w:color w:val="0000FF"/>
      <w:u w:val="single"/>
    </w:rPr>
  </w:style>
  <w:style w:type="character" w:styleId="7">
    <w:name w:val="Strong"/>
    <w:basedOn w:val="3"/>
    <w:qFormat/>
    <w:uiPriority w:val="22"/>
    <w:rPr>
      <w:b/>
      <w:bCs/>
    </w:r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9">
    <w:name w:val="rev_ann_mr_css_attr"/>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0">
    <w:name w:val="Заголовок 3 Знак"/>
    <w:basedOn w:val="3"/>
    <w:link w:val="2"/>
    <w:uiPriority w:val="9"/>
    <w:rPr>
      <w:rFonts w:ascii="Times New Roman" w:hAnsi="Times New Roman" w:eastAsia="Times New Roman" w:cs="Times New Roman"/>
      <w:b/>
      <w:bCs/>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3552</Words>
  <Characters>20253</Characters>
  <Lines>168</Lines>
  <Paragraphs>47</Paragraphs>
  <TotalTime>2</TotalTime>
  <ScaleCrop>false</ScaleCrop>
  <LinksUpToDate>false</LinksUpToDate>
  <CharactersWithSpaces>23758</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2022-07-27T07:36:00Z</dcterms:created>
  <dc:creator>User</dc:creator>
  <cp:lastModifiedBy>User</cp:lastModifiedBy>
  <dcterms:modified xsi:type="dcterms:W3CDTF">2022-07-29T09:59:15Z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1490BA28535346789B1F997A9DF89550</vt:lpwstr>
  </property>
</Properties>
</file>