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5" w:rsidRDefault="00C2178D" w:rsidP="00BC72AC">
      <w:pPr>
        <w:pStyle w:val="a5"/>
        <w:spacing w:before="0" w:beforeAutospacing="0" w:after="0" w:afterAutospacing="0"/>
        <w:ind w:firstLineChars="157" w:firstLine="441"/>
        <w:jc w:val="both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ПРАВОВЫЕ НОВОСТИ</w:t>
      </w:r>
    </w:p>
    <w:p w:rsidR="00D31395" w:rsidRDefault="00D31395" w:rsidP="00BC72AC">
      <w:pPr>
        <w:pStyle w:val="a5"/>
        <w:spacing w:before="0" w:beforeAutospacing="0" w:after="0" w:afterAutospacing="0"/>
        <w:ind w:firstLineChars="157" w:firstLine="441"/>
        <w:jc w:val="both"/>
        <w:rPr>
          <w:rStyle w:val="a4"/>
          <w:sz w:val="28"/>
          <w:szCs w:val="28"/>
        </w:rPr>
      </w:pPr>
    </w:p>
    <w:p w:rsidR="00D31395" w:rsidRDefault="00C2178D" w:rsidP="00BC72AC">
      <w:pPr>
        <w:pStyle w:val="a5"/>
        <w:spacing w:before="0" w:beforeAutospacing="0" w:after="0" w:afterAutospacing="0"/>
        <w:ind w:firstLineChars="200" w:firstLine="482"/>
        <w:jc w:val="both"/>
      </w:pPr>
      <w:r>
        <w:rPr>
          <w:b/>
          <w:bCs/>
        </w:rPr>
        <w:t>В связи с вступл</w:t>
      </w:r>
      <w:r>
        <w:rPr>
          <w:b/>
          <w:bCs/>
        </w:rPr>
        <w:t>ением</w:t>
      </w:r>
      <w:r>
        <w:rPr>
          <w:b/>
          <w:bCs/>
        </w:rPr>
        <w:t xml:space="preserve"> в действие</w:t>
      </w:r>
      <w:r>
        <w:rPr>
          <w:b/>
          <w:bCs/>
        </w:rPr>
        <w:t xml:space="preserve"> </w:t>
      </w:r>
      <w:r>
        <w:rPr>
          <w:b/>
          <w:bCs/>
        </w:rPr>
        <w:t xml:space="preserve">1 сентября 2022 года </w:t>
      </w:r>
      <w:r>
        <w:rPr>
          <w:b/>
          <w:bCs/>
        </w:rPr>
        <w:t>Федеральн</w:t>
      </w:r>
      <w:r>
        <w:rPr>
          <w:b/>
          <w:bCs/>
        </w:rPr>
        <w:t>ого</w:t>
      </w:r>
      <w:r>
        <w:rPr>
          <w:b/>
          <w:bCs/>
        </w:rPr>
        <w:t xml:space="preserve"> </w:t>
      </w:r>
      <w:hyperlink r:id="rId7" w:tgtFrame="https://e.mail.ru/inbox/0:16621408221023253536:0/_blank" w:history="1">
        <w:proofErr w:type="gramStart"/>
        <w:r>
          <w:rPr>
            <w:rStyle w:val="a3"/>
            <w:b/>
            <w:bCs/>
            <w:color w:val="auto"/>
            <w:u w:val="none"/>
          </w:rPr>
          <w:t>закон</w:t>
        </w:r>
        <w:proofErr w:type="gramEnd"/>
      </w:hyperlink>
      <w:r>
        <w:rPr>
          <w:b/>
          <w:bCs/>
        </w:rPr>
        <w:t>а</w:t>
      </w:r>
      <w:r>
        <w:rPr>
          <w:b/>
          <w:bCs/>
        </w:rPr>
        <w:t xml:space="preserve"> от 14.07.2022 N 310-ФЗ"</w:t>
      </w:r>
      <w:r>
        <w:rPr>
          <w:b/>
          <w:bCs/>
        </w:rPr>
        <w:t xml:space="preserve"> </w:t>
      </w:r>
      <w:r>
        <w:rPr>
          <w:b/>
          <w:bCs/>
        </w:rPr>
        <w:t>О внесении изменений в Семейный кодекс Российской Федерации и отдельные</w:t>
      </w:r>
      <w:r>
        <w:rPr>
          <w:b/>
          <w:bCs/>
        </w:rPr>
        <w:t xml:space="preserve"> </w:t>
      </w:r>
      <w:r>
        <w:rPr>
          <w:b/>
          <w:bCs/>
        </w:rPr>
        <w:t xml:space="preserve">законодательные </w:t>
      </w:r>
      <w:r>
        <w:rPr>
          <w:b/>
          <w:bCs/>
        </w:rPr>
        <w:t>акты Российской Федерации"</w:t>
      </w:r>
      <w:r>
        <w:rPr>
          <w:b/>
          <w:bCs/>
        </w:rPr>
        <w:t xml:space="preserve">  </w:t>
      </w:r>
      <w:r>
        <w:t>нельзя совершать сделки с жилым помещением</w:t>
      </w:r>
      <w:r>
        <w:t xml:space="preserve">, если по их итогам на долю каждого собственника останется менее 6 </w:t>
      </w:r>
      <w:proofErr w:type="spellStart"/>
      <w:r>
        <w:t>кв.м</w:t>
      </w:r>
      <w:proofErr w:type="spellEnd"/>
      <w:r>
        <w:t>.</w:t>
      </w:r>
      <w:r>
        <w:t xml:space="preserve"> его </w:t>
      </w:r>
      <w:hyperlink r:id="rId8" w:tooltip="" w:history="1">
        <w:r>
          <w:rPr>
            <w:rStyle w:val="a3"/>
            <w:color w:val="auto"/>
            <w:u w:val="none"/>
          </w:rPr>
          <w:t>площади</w:t>
        </w:r>
      </w:hyperlink>
      <w:r>
        <w:t xml:space="preserve">. Речь идет о дроблении доли в </w:t>
      </w:r>
      <w:hyperlink r:id="rId9" w:tgtFrame="https://e.mail.ru/inbox/0:16621408221023253536:0/_blank" w:history="1">
        <w:r>
          <w:rPr>
            <w:rStyle w:val="a3"/>
            <w:color w:val="auto"/>
            <w:u w:val="none"/>
          </w:rPr>
          <w:t>праве общей собственности</w:t>
        </w:r>
      </w:hyperlink>
      <w:r>
        <w:t xml:space="preserve"> и т.д.</w:t>
      </w:r>
      <w:r>
        <w:t xml:space="preserve"> </w:t>
      </w:r>
      <w:r>
        <w:t>Сделки, которые наруша</w:t>
      </w:r>
      <w:r>
        <w:t>ю</w:t>
      </w:r>
      <w:r>
        <w:t xml:space="preserve">т запрет, </w:t>
      </w:r>
      <w:r>
        <w:t>являются</w:t>
      </w:r>
      <w:r>
        <w:t xml:space="preserve"> </w:t>
      </w:r>
      <w:hyperlink r:id="rId10" w:tgtFrame="https://e.mail.ru/inbox/0:16621408221023253536:0/_blank" w:tooltip="" w:history="1">
        <w:r>
          <w:rPr>
            <w:rStyle w:val="a3"/>
            <w:color w:val="auto"/>
            <w:u w:val="none"/>
          </w:rPr>
          <w:t>ничтожными</w:t>
        </w:r>
      </w:hyperlink>
      <w:r>
        <w:t xml:space="preserve">. </w:t>
      </w:r>
      <w:r>
        <w:t>Исключение составят случаи пере</w:t>
      </w:r>
      <w:r>
        <w:t>хода</w:t>
      </w:r>
      <w:r>
        <w:t xml:space="preserve"> прав</w:t>
      </w:r>
      <w:r>
        <w:t>а</w:t>
      </w:r>
      <w:r>
        <w:t xml:space="preserve"> общей долевой собственности по наследству или в результате приватизации.</w:t>
      </w:r>
    </w:p>
    <w:p w:rsidR="00D31395" w:rsidRDefault="00D31395">
      <w:pPr>
        <w:pStyle w:val="a5"/>
        <w:spacing w:before="0" w:beforeAutospacing="0" w:after="0" w:afterAutospacing="0"/>
        <w:jc w:val="both"/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hyperlink r:id="rId11" w:tgtFrame="_blank" w:history="1">
        <w:r>
          <w:rPr>
            <w:rStyle w:val="a3"/>
            <w:b/>
            <w:bCs/>
            <w:color w:val="auto"/>
            <w:u w:val="none"/>
          </w:rPr>
          <w:t xml:space="preserve"> ФНС России  разъяснены вопросы предоставления гражданам налоговых льгот при налогообложении имущества.</w:t>
        </w:r>
      </w:hyperlink>
    </w:p>
    <w:p w:rsidR="00D31395" w:rsidRDefault="00C2178D" w:rsidP="00BC72AC">
      <w:pPr>
        <w:pStyle w:val="revannmrcssattr"/>
        <w:spacing w:before="0" w:beforeAutospacing="0" w:after="0" w:afterAutospacing="0"/>
        <w:ind w:firstLineChars="157" w:firstLine="377"/>
        <w:jc w:val="both"/>
      </w:pPr>
      <w:r>
        <w:t>ФНС напомнила о том, какие налоговые льготы предусмотрены для физлиц и на что обра</w:t>
      </w:r>
      <w:r>
        <w:t>тить внимание при получении уведомления на уплату налогов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В полученном из налогового органа уведомлении необходимо проверить учтена ли в нем льгота за период владения налогооблагаемым имуществом, а также выяснить - относится ли налогоплательщик к категория</w:t>
      </w:r>
      <w:r>
        <w:t>м лиц, имеющим право на льготы по определенным объектам налогообложения.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Сообщен перечень льгот, установленных по конкретным налогам и категории лиц, имеющих право на их применение.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Если налогоплательщик относится к таким категориям лиц, но льгота не учтен</w:t>
      </w:r>
      <w:r>
        <w:t>а в налоговом уведомлении, рекомендуется подать заявление по утвержденной форме через личный кабинет налогоплательщика, по почте или через уполномоченный МФЦ.</w:t>
      </w:r>
    </w:p>
    <w:p w:rsidR="00D31395" w:rsidRDefault="00D31395" w:rsidP="00BC72AC">
      <w:pPr>
        <w:spacing w:after="0" w:line="240" w:lineRule="auto"/>
        <w:ind w:firstLineChars="157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1395" w:rsidRDefault="00C2178D">
      <w:pPr>
        <w:spacing w:after="0" w:line="240" w:lineRule="auto"/>
        <w:ind w:firstLineChars="157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Роскомнадзор</w:t>
        </w:r>
        <w:proofErr w:type="spellEnd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проинформировал об изменениях в </w:t>
        </w:r>
        <w:proofErr w:type="gram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законодательстве</w:t>
        </w:r>
        <w:proofErr w:type="gramEnd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 персональных данных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1395" w:rsidRDefault="00C2178D" w:rsidP="00BC72AC">
      <w:pPr>
        <w:spacing w:after="0" w:line="240" w:lineRule="auto"/>
        <w:ind w:firstLineChars="157" w:firstLine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обработке персональных данных не определен</w:t>
      </w:r>
    </w:p>
    <w:p w:rsidR="00D31395" w:rsidRDefault="00C2178D" w:rsidP="00BC72AC">
      <w:pPr>
        <w:spacing w:after="0" w:line="240" w:lineRule="auto"/>
        <w:ind w:firstLineChars="157" w:firstLine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что 1 сентября 2022 г. не является крайним сроком подачи уведомления об обработке персональных данных.</w:t>
      </w:r>
    </w:p>
    <w:p w:rsidR="00D31395" w:rsidRDefault="00C2178D" w:rsidP="00BC72AC">
      <w:pPr>
        <w:spacing w:after="0" w:line="240" w:lineRule="auto"/>
        <w:ind w:firstLineChars="157" w:firstLine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 порядок заполнения и направления в территориальный орган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до утверждения форм таких уведомлений.</w:t>
      </w:r>
    </w:p>
    <w:p w:rsidR="00D31395" w:rsidRDefault="00C2178D" w:rsidP="00BC72AC">
      <w:pPr>
        <w:spacing w:after="0" w:line="240" w:lineRule="auto"/>
        <w:ind w:firstLineChars="157" w:firstLine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разъяснены изменения в правила трансграничной передачи персональных данных.</w:t>
      </w:r>
    </w:p>
    <w:p w:rsidR="00D31395" w:rsidRDefault="00D31395" w:rsidP="00BC72AC">
      <w:pPr>
        <w:spacing w:after="0" w:line="240" w:lineRule="auto"/>
        <w:ind w:firstLineChars="157" w:firstLine="3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hyperlink r:id="rId13" w:tgtFrame="_blank" w:history="1">
        <w:r>
          <w:rPr>
            <w:rStyle w:val="a3"/>
            <w:b/>
            <w:bCs/>
            <w:color w:val="auto"/>
            <w:u w:val="none"/>
          </w:rPr>
          <w:t xml:space="preserve">Согласно Информации </w:t>
        </w:r>
        <w:proofErr w:type="spellStart"/>
        <w:r>
          <w:rPr>
            <w:rStyle w:val="a3"/>
            <w:b/>
            <w:bCs/>
            <w:color w:val="auto"/>
            <w:u w:val="none"/>
          </w:rPr>
          <w:t>Роск</w:t>
        </w:r>
        <w:r>
          <w:rPr>
            <w:rStyle w:val="a3"/>
            <w:b/>
            <w:bCs/>
            <w:color w:val="auto"/>
            <w:u w:val="none"/>
          </w:rPr>
          <w:t>омнадзора</w:t>
        </w:r>
        <w:proofErr w:type="spellEnd"/>
        <w:r>
          <w:rPr>
            <w:rStyle w:val="a3"/>
            <w:b/>
            <w:bCs/>
            <w:color w:val="auto"/>
            <w:u w:val="none"/>
          </w:rPr>
          <w:t xml:space="preserve">  на сайте </w:t>
        </w:r>
        <w:proofErr w:type="spellStart"/>
        <w:r>
          <w:rPr>
            <w:rStyle w:val="a3"/>
            <w:b/>
            <w:bCs/>
            <w:color w:val="auto"/>
            <w:u w:val="none"/>
          </w:rPr>
          <w:t>Роскомнадзора</w:t>
        </w:r>
        <w:proofErr w:type="spellEnd"/>
        <w:r>
          <w:rPr>
            <w:rStyle w:val="a3"/>
            <w:b/>
            <w:bCs/>
            <w:color w:val="auto"/>
            <w:u w:val="none"/>
          </w:rPr>
          <w:t xml:space="preserve"> доступны формы для подачи уведомлений от операторов персональных данных</w:t>
        </w:r>
      </w:hyperlink>
    </w:p>
    <w:p w:rsidR="00D31395" w:rsidRDefault="00C2178D" w:rsidP="00BC72AC">
      <w:pPr>
        <w:pStyle w:val="revannmrcssattr"/>
        <w:spacing w:before="0" w:beforeAutospacing="0" w:after="0" w:afterAutospacing="0"/>
        <w:ind w:firstLineChars="157" w:firstLine="377"/>
        <w:jc w:val="both"/>
      </w:pPr>
      <w:r>
        <w:t>На сайте размещены специальные электронные формы подачи уведомлений об утечке и о трансграничной передаче персональных данных.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 xml:space="preserve">  С 1 сентября 2022 </w:t>
      </w:r>
      <w:r>
        <w:t xml:space="preserve">года вступили в силу изменения в закон о персональных данных. Операторы, осуществляющие обработку персональных данных, должны уведомлять </w:t>
      </w:r>
      <w:proofErr w:type="spellStart"/>
      <w:r>
        <w:t>Роскомнадзор</w:t>
      </w:r>
      <w:proofErr w:type="spellEnd"/>
      <w:r>
        <w:t xml:space="preserve"> о фактах утечек данных клиентов, а также о трансграничной передаче персональных данных.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Согласно изменения</w:t>
      </w:r>
      <w:r>
        <w:t xml:space="preserve">м оператор, допустивший утечку персональных данных, обязан в течение 24 часов сообщить об этом в </w:t>
      </w:r>
      <w:proofErr w:type="spellStart"/>
      <w:r>
        <w:t>Роскомнадзор</w:t>
      </w:r>
      <w:proofErr w:type="spellEnd"/>
      <w:r>
        <w:t>, а в течение 72 часов предоставить в ведомство результаты внутреннего расследования инцидента с указанием причины и виновных лиц.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Новый порядок тр</w:t>
      </w:r>
      <w:r>
        <w:t xml:space="preserve">ансграничной передачи данных будет применяться с 1 марта 2023 года. Но операторов, которые уже сейчас передают данные за границу, закон обязал направить в </w:t>
      </w:r>
      <w:proofErr w:type="spellStart"/>
      <w:r>
        <w:t>Роскомнадзор</w:t>
      </w:r>
      <w:proofErr w:type="spellEnd"/>
      <w:r>
        <w:t xml:space="preserve"> уведомление о трансграничной передаче до этой даты, чтобы в дальнейшем не приостанавлива</w:t>
      </w:r>
      <w:r>
        <w:t>ть свою деятельность. Уведомлять необходимо один раз для каждой страны, в которую будут передаваться данные, а не о каждой транзакции.</w:t>
      </w:r>
    </w:p>
    <w:p w:rsidR="00D31395" w:rsidRDefault="00D31395" w:rsidP="00BC72AC">
      <w:pPr>
        <w:pStyle w:val="a5"/>
        <w:spacing w:before="0" w:beforeAutospacing="0" w:after="0" w:afterAutospacing="0"/>
        <w:ind w:firstLineChars="157" w:firstLine="377"/>
        <w:jc w:val="both"/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8"/>
        <w:jc w:val="both"/>
      </w:pPr>
      <w:proofErr w:type="gramStart"/>
      <w:r>
        <w:rPr>
          <w:rStyle w:val="a4"/>
        </w:rPr>
        <w:lastRenderedPageBreak/>
        <w:t xml:space="preserve">Согласно </w:t>
      </w:r>
      <w:hyperlink r:id="rId14" w:tgtFrame="_blank" w:history="1">
        <w:r>
          <w:rPr>
            <w:rStyle w:val="a3"/>
            <w:b/>
            <w:bCs/>
            <w:color w:val="auto"/>
            <w:u w:val="none"/>
          </w:rPr>
          <w:t>Приказу Минюста России от 25.08.2022 N 175 "О внесении изменений в формы заявлений о государственной регистрации актов гражданско</w:t>
        </w:r>
        <w:r>
          <w:rPr>
            <w:rStyle w:val="a3"/>
            <w:b/>
            <w:bCs/>
            <w:color w:val="auto"/>
            <w:u w:val="none"/>
          </w:rPr>
          <w:t>го состояния и Правила заполнения форм заявлений о государственной регистрации актов гражданского состояния, утвержденные Приказом Минюста России от 01.10.2018 N 201", зарегистрированному в Минюсте России 01.09.2022 N 69881,</w:t>
        </w:r>
      </w:hyperlink>
      <w:r>
        <w:rPr>
          <w:rStyle w:val="a4"/>
        </w:rPr>
        <w:t xml:space="preserve"> </w:t>
      </w:r>
      <w:r>
        <w:rPr>
          <w:rStyle w:val="a4"/>
          <w:b w:val="0"/>
        </w:rPr>
        <w:t>в</w:t>
      </w:r>
      <w:r>
        <w:t>место фактического места ро</w:t>
      </w:r>
      <w:r>
        <w:t>ждения ребенка на территории РФ может быть указано место жительства одного</w:t>
      </w:r>
      <w:proofErr w:type="gramEnd"/>
      <w:r>
        <w:t xml:space="preserve"> из родителей на территории РФ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 xml:space="preserve">Соответствующее изменение внесено в формы заявлений о </w:t>
      </w:r>
      <w:proofErr w:type="spellStart"/>
      <w:r>
        <w:t>госрегистрации</w:t>
      </w:r>
      <w:proofErr w:type="spellEnd"/>
      <w:r>
        <w:t xml:space="preserve"> актов гражданского состояния, утвержденных Приказом Минюста России от 01.10.2018 N</w:t>
      </w:r>
      <w:r>
        <w:t xml:space="preserve"> 201.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Кроме того, установлена последовательность указания сведений о месте рождения и месте смерти при заполнении форм заявлений.</w:t>
      </w:r>
    </w:p>
    <w:p w:rsidR="00D31395" w:rsidRDefault="00C2178D" w:rsidP="00BC72AC">
      <w:pPr>
        <w:pStyle w:val="3"/>
        <w:spacing w:before="0" w:beforeAutospacing="0" w:after="0" w:afterAutospacing="0"/>
        <w:ind w:firstLineChars="157" w:firstLine="3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hyperlink r:id="rId15" w:tgtFrame="_blank" w:history="1">
        <w:proofErr w:type="gramStart"/>
        <w:r>
          <w:rPr>
            <w:rStyle w:val="a3"/>
            <w:b/>
            <w:bCs/>
            <w:color w:val="auto"/>
            <w:u w:val="none"/>
          </w:rPr>
          <w:t>Приказом ФСС РФ от 23.06.2022 N 246 "Об утверждении Порядка возмещения расходов страхователю на выплату социального пособия на погребение, а т</w:t>
        </w:r>
        <w:r>
          <w:rPr>
            <w:rStyle w:val="a3"/>
            <w:b/>
            <w:bCs/>
            <w:color w:val="auto"/>
            <w:u w:val="none"/>
          </w:rPr>
          <w:t>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дела», зарегистрированным в Минюсте России 01.09.2022 N 69895,</w:t>
        </w:r>
      </w:hyperlink>
      <w:r>
        <w:rPr>
          <w:rStyle w:val="a4"/>
        </w:rPr>
        <w:t xml:space="preserve"> </w:t>
      </w:r>
      <w:r>
        <w:t>утвержден порядок возмещения расходо</w:t>
      </w:r>
      <w:r>
        <w:t xml:space="preserve">в страхователю на выплату пособия на погребение и возмещение стоимости услуг по погребению </w:t>
      </w:r>
      <w:proofErr w:type="gramEnd"/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Приказом устанавливается формы заявлений о возмещении расходов, перечень документов для представления в территориальные органы Фонда, порядок принятия решения о воз</w:t>
      </w:r>
      <w:r>
        <w:t xml:space="preserve">мещении расходов страхователю и сроки перечисления средств.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Утверждена форма решения об отказе в рассмотрении документов.</w:t>
      </w:r>
    </w:p>
    <w:p w:rsidR="00D31395" w:rsidRDefault="00D31395" w:rsidP="00BC72AC">
      <w:pPr>
        <w:pStyle w:val="a5"/>
        <w:spacing w:before="0" w:beforeAutospacing="0" w:after="0" w:afterAutospacing="0"/>
        <w:ind w:firstLineChars="157" w:firstLine="377"/>
        <w:jc w:val="both"/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8"/>
        <w:jc w:val="both"/>
      </w:pPr>
      <w:r>
        <w:rPr>
          <w:b/>
          <w:bCs/>
        </w:rPr>
        <w:t>Банк России</w:t>
      </w:r>
      <w:r>
        <w:rPr>
          <w:b/>
          <w:bCs/>
        </w:rPr>
        <w:t xml:space="preserve"> в </w:t>
      </w:r>
      <w:hyperlink r:id="rId16" w:tgtFrame="_blank" w:history="1">
        <w:r>
          <w:rPr>
            <w:b/>
            <w:bCs/>
          </w:rPr>
          <w:t>и</w:t>
        </w:r>
        <w:r>
          <w:rPr>
            <w:rStyle w:val="a3"/>
            <w:b/>
            <w:bCs/>
            <w:color w:val="auto"/>
            <w:u w:val="none"/>
          </w:rPr>
          <w:t>нформационн</w:t>
        </w:r>
        <w:r>
          <w:rPr>
            <w:rStyle w:val="a3"/>
            <w:b/>
            <w:bCs/>
            <w:color w:val="auto"/>
            <w:u w:val="none"/>
          </w:rPr>
          <w:t>о</w:t>
        </w:r>
        <w:r>
          <w:rPr>
            <w:rStyle w:val="a3"/>
            <w:b/>
            <w:bCs/>
            <w:color w:val="auto"/>
            <w:u w:val="none"/>
          </w:rPr>
          <w:t>м письм</w:t>
        </w:r>
        <w:r>
          <w:rPr>
            <w:rStyle w:val="a3"/>
            <w:b/>
            <w:bCs/>
            <w:color w:val="auto"/>
            <w:u w:val="none"/>
          </w:rPr>
          <w:t>е</w:t>
        </w:r>
        <w:r>
          <w:rPr>
            <w:rStyle w:val="a3"/>
            <w:b/>
            <w:bCs/>
            <w:color w:val="auto"/>
            <w:u w:val="none"/>
          </w:rPr>
          <w:t xml:space="preserve"> от 01.09</w:t>
        </w:r>
        <w:r>
          <w:rPr>
            <w:rStyle w:val="a3"/>
            <w:b/>
            <w:bCs/>
            <w:color w:val="auto"/>
            <w:u w:val="none"/>
          </w:rPr>
          <w:t>.2022 N ИН-01-59/112 "О рекомендациях, направленных на недопущение дискриминации на финансовом рынке в отношении лиц с инвалидностью и пожилого населения"</w:t>
        </w:r>
      </w:hyperlink>
      <w:r>
        <w:t xml:space="preserve"> напомнил о недопустимости отказа в предоставлении финансовых, кредитных или страховых услуг на осн</w:t>
      </w:r>
      <w:r>
        <w:t xml:space="preserve">овании наличия инвалидности, хронического заболевания или по возрасту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Страховым организациям рекомендуется предоставлять лицам с инвалидностью и пожилым полный перечень страховых услуг, то есть такой же, как и лицам, не относящимся к данным категориям, пр</w:t>
      </w:r>
      <w:r>
        <w:t xml:space="preserve">и необходимости включающий такие страховые риски, как повышение группы инвалидности, заболевание или несчастный случай.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proofErr w:type="gramStart"/>
      <w:r>
        <w:t xml:space="preserve">В случае если кредитной организацией предусмотрен механизм получения заемщиком по кредитному договору льготных условий кредитования, в </w:t>
      </w:r>
      <w:r>
        <w:t>том числе в части процентной ставки, посредством заключения договора страхования в целях обеспечения исполнения обязательств заемщика по кредитному договору, рекомендуется предусмотреть для лиц с инвалидностью и пожилых, являющихся заемщиками по кредитному</w:t>
      </w:r>
      <w:r>
        <w:t xml:space="preserve"> договору и столкнувшихся с затруднениями в получении соответствующих страховых услуг, альтернативные механизмы получения</w:t>
      </w:r>
      <w:proofErr w:type="gramEnd"/>
      <w:r>
        <w:t xml:space="preserve"> льготных условий кредитования.</w:t>
      </w:r>
    </w:p>
    <w:p w:rsidR="00D31395" w:rsidRDefault="00D31395">
      <w:pPr>
        <w:pStyle w:val="a5"/>
        <w:spacing w:before="0" w:beforeAutospacing="0" w:after="0" w:afterAutospacing="0"/>
        <w:jc w:val="both"/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hyperlink r:id="rId17" w:tgtFrame="_blank" w:history="1">
        <w:r>
          <w:rPr>
            <w:rStyle w:val="a3"/>
            <w:b/>
            <w:bCs/>
            <w:color w:val="auto"/>
            <w:u w:val="none"/>
          </w:rPr>
          <w:t>Указанием от 16.05.2022 N 6137</w:t>
        </w:r>
        <w:r>
          <w:rPr>
            <w:rStyle w:val="a3"/>
            <w:b/>
            <w:bCs/>
            <w:color w:val="auto"/>
            <w:u w:val="none"/>
          </w:rPr>
          <w:t>-У "О страховых тарифах по обязательному страхованию гражданской ответственности перевозчика за причинение при перевозках вреда жизни, здоровью и имуществу пассажиров" зарегистрированным в Минюсте России 29.08.2022 N 69829,</w:t>
        </w:r>
      </w:hyperlink>
      <w:r>
        <w:rPr>
          <w:rStyle w:val="a4"/>
        </w:rPr>
        <w:t xml:space="preserve"> </w:t>
      </w:r>
      <w:r>
        <w:rPr>
          <w:b/>
          <w:bCs/>
        </w:rPr>
        <w:t>Банк России</w:t>
      </w:r>
      <w:r>
        <w:t xml:space="preserve"> расширил границы </w:t>
      </w:r>
      <w:r>
        <w:t>коридора страхового тарифа по ОСГОП для всех видов транспорта и видов перевозок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Утверждены новые предельные (минимальные и максимальные) значения страховых тарифов по обязательному страхованию гражданской ответственности перевозчика (ОСГОП) за причинение п</w:t>
      </w:r>
      <w:r>
        <w:t>ри перевозках вреда жизни, здоровью, имуществу пассажиров в зависимости от вида транспорта, вида перевозок.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Изменение границ тарифного коридора позволит устанавливать более справедливую страховую премию для перевозчиков в зависимости от аварийности.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proofErr w:type="gramStart"/>
      <w:r>
        <w:lastRenderedPageBreak/>
        <w:t xml:space="preserve">Кроме </w:t>
      </w:r>
      <w:r>
        <w:t>того, указанием определены максимальный размер расходов на осуществление обязательного страхования и размер отчислений в компенсационный фонд.</w:t>
      </w:r>
      <w:proofErr w:type="gramEnd"/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Признано утратившим силу Указание Банка России от 10 января 2020 года N 5384-У.</w:t>
      </w:r>
    </w:p>
    <w:p w:rsidR="00D31395" w:rsidRDefault="00D31395" w:rsidP="00BC72AC">
      <w:pPr>
        <w:pStyle w:val="a5"/>
        <w:spacing w:before="0" w:beforeAutospacing="0" w:after="0" w:afterAutospacing="0"/>
        <w:ind w:firstLineChars="157" w:firstLine="377"/>
        <w:jc w:val="both"/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hyperlink r:id="rId18" w:tgtFrame="_blank" w:history="1">
        <w:r>
          <w:rPr>
            <w:rStyle w:val="a3"/>
            <w:b/>
            <w:bCs/>
            <w:color w:val="auto"/>
            <w:u w:val="none"/>
          </w:rPr>
          <w:t xml:space="preserve"> </w:t>
        </w:r>
        <w:proofErr w:type="gramStart"/>
        <w:r>
          <w:rPr>
            <w:rStyle w:val="a3"/>
            <w:b/>
            <w:bCs/>
            <w:color w:val="auto"/>
            <w:u w:val="none"/>
          </w:rPr>
          <w:t>Согласно указанию Банка России от 28.07.2022 N 62</w:t>
        </w:r>
        <w:r>
          <w:rPr>
            <w:rStyle w:val="a3"/>
            <w:b/>
            <w:bCs/>
            <w:color w:val="auto"/>
            <w:u w:val="none"/>
          </w:rPr>
          <w:t>09-У "О внесении изменений в приложения 1 и 2 к Указанию Банка России от 8 декабря 2021 года N 6007-У "О страховых тарифах по обязательному страхованию гражданской ответственности владельцев транспортных средств", зарегистрированному в Минюсте России 30.08</w:t>
        </w:r>
        <w:r>
          <w:rPr>
            <w:rStyle w:val="a3"/>
            <w:b/>
            <w:bCs/>
            <w:color w:val="auto"/>
            <w:u w:val="none"/>
          </w:rPr>
          <w:t>.2022 N 69845,</w:t>
        </w:r>
      </w:hyperlink>
      <w:r>
        <w:rPr>
          <w:rStyle w:val="a4"/>
        </w:rPr>
        <w:t xml:space="preserve"> </w:t>
      </w:r>
      <w:r>
        <w:t>для большинства категорий автовладельцев более чем на 25% расширена верхняя и нижняя граница коридора базового</w:t>
      </w:r>
      <w:proofErr w:type="gramEnd"/>
      <w:r>
        <w:t xml:space="preserve"> тарифа ОСАГО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В новой редакции изложены предельные размеры базовых ставок страховых тарифов (их минимальные и максимальные знач</w:t>
      </w:r>
      <w:r>
        <w:t xml:space="preserve">ения).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 xml:space="preserve">Кроме того, для некоторых регионов скорректированы коэффициенты страховых тарифов, устанавливаемые в зависимости от территории преимущественного использования транспортного средства. </w:t>
      </w:r>
    </w:p>
    <w:p w:rsidR="00D31395" w:rsidRDefault="00C2178D" w:rsidP="00BC72AC">
      <w:pPr>
        <w:autoSpaceDE w:val="0"/>
        <w:autoSpaceDN w:val="0"/>
        <w:adjustRightInd w:val="0"/>
        <w:spacing w:after="0" w:line="240" w:lineRule="auto"/>
        <w:ind w:firstLineChars="157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вступает  в действие 13.09.2022.  </w:t>
      </w:r>
    </w:p>
    <w:p w:rsidR="00D31395" w:rsidRDefault="00D31395">
      <w:pPr>
        <w:pStyle w:val="a5"/>
        <w:spacing w:before="0" w:beforeAutospacing="0" w:after="0" w:afterAutospacing="0"/>
        <w:jc w:val="both"/>
      </w:pPr>
    </w:p>
    <w:p w:rsidR="00D31395" w:rsidRDefault="00C2178D" w:rsidP="00BC72AC">
      <w:pPr>
        <w:pStyle w:val="a5"/>
        <w:spacing w:before="0" w:beforeAutospacing="0" w:after="0" w:afterAutospacing="0"/>
        <w:ind w:firstLineChars="157" w:firstLine="378"/>
        <w:jc w:val="both"/>
      </w:pPr>
      <w:proofErr w:type="gramStart"/>
      <w:r>
        <w:rPr>
          <w:rStyle w:val="a4"/>
        </w:rPr>
        <w:t xml:space="preserve">Согласно </w:t>
      </w:r>
      <w:hyperlink r:id="rId19" w:tgtFrame="_blank" w:history="1">
        <w:r>
          <w:rPr>
            <w:rStyle w:val="a3"/>
            <w:b/>
            <w:bCs/>
            <w:color w:val="auto"/>
            <w:u w:val="none"/>
          </w:rPr>
          <w:t xml:space="preserve">Приказу Минздрава России от </w:t>
        </w:r>
        <w:r>
          <w:rPr>
            <w:rStyle w:val="a3"/>
            <w:b/>
            <w:bCs/>
            <w:color w:val="auto"/>
            <w:u w:val="none"/>
          </w:rPr>
          <w:t>04.08.2022 N 528н "О внесении изменения в Порядок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утвержденный Приказом Министерства здравоохранени</w:t>
        </w:r>
        <w:r>
          <w:rPr>
            <w:rStyle w:val="a3"/>
            <w:b/>
            <w:bCs/>
            <w:color w:val="auto"/>
            <w:u w:val="none"/>
          </w:rPr>
          <w:t>я и социального развития Российской Федерации от 5 октября 2005 г. N 617", зарегистрированному в Минюсте России 01.09.2022 N 69885,</w:t>
        </w:r>
      </w:hyperlink>
      <w:r>
        <w:rPr>
          <w:rStyle w:val="a4"/>
        </w:rPr>
        <w:t xml:space="preserve"> с</w:t>
      </w:r>
      <w:r>
        <w:t xml:space="preserve"> 1 января 2023 года изменяется</w:t>
      </w:r>
      <w:proofErr w:type="gramEnd"/>
      <w:r>
        <w:t xml:space="preserve"> порядок получения специальных талонов (именных направлений) на проезд к месту лечения для</w:t>
      </w:r>
      <w:r>
        <w:t xml:space="preserve"> получения медицинской помощи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>Органом исполнительной власти субъекта РФ в сфере здравоохранения оформляется и выдается гражданину направление на лечение и осуществляется формирование в форме электронного документа Талона N 2 для предоставления в территориа</w:t>
      </w:r>
      <w:r>
        <w:t>льные органы Фонда пенсионного и социального страхования РФ посредством системы межведомственного электронного взаимодействия.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 xml:space="preserve">На основании таких сведений территориальные фонды обеспечивают граждан специальными талонами или именными направлениями на право </w:t>
      </w:r>
      <w:r>
        <w:t>бесплатного получения проездных документов к месту лечения и обратно.</w:t>
      </w:r>
    </w:p>
    <w:p w:rsidR="00D31395" w:rsidRDefault="00D31395">
      <w:pPr>
        <w:pStyle w:val="a5"/>
        <w:spacing w:before="0" w:beforeAutospacing="0" w:after="0" w:afterAutospacing="0"/>
        <w:jc w:val="both"/>
      </w:pPr>
    </w:p>
    <w:p w:rsidR="00D31395" w:rsidRDefault="00C2178D" w:rsidP="00BC72AC">
      <w:pPr>
        <w:pStyle w:val="3"/>
        <w:spacing w:before="0" w:beforeAutospacing="0" w:after="0" w:afterAutospacing="0"/>
        <w:ind w:firstLineChars="157" w:firstLine="426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Согласно </w:t>
      </w:r>
      <w:hyperlink r:id="rId20" w:tgtFrame="_blank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Письму от 18.08.2022 N 31-1/153 "О применении нормы части 1.1 статьи 16 Федерального закона от 29.11.2010 N 326-ФЗ"</w:t>
        </w:r>
      </w:hyperlink>
      <w:r>
        <w:rPr>
          <w:rStyle w:val="a4"/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Минздравом России даны разъяснения о применении положений об обязательном медицинском страховании отдельных категорий лиц.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proofErr w:type="gramStart"/>
      <w:r>
        <w:t>С 1 января 2023 года вступает в силу часть 1.1 статьи 16 Федерального закона от 29.11.2010 N 326-ФЗ "Об обязательном медицинском стр</w:t>
      </w:r>
      <w:r>
        <w:t>аховании в Российской Федерации", согласно которой временно пребывающие и осуществляющие трудовую деятельность на территории РФ иностранные граждане, лица без гражданства приобретают права, установленные частью 1 статьи 16 Федерального закона N 326-ФЗ, при</w:t>
      </w:r>
      <w:r>
        <w:t xml:space="preserve"> уплате за них страхователями страховых взносов на</w:t>
      </w:r>
      <w:proofErr w:type="gramEnd"/>
      <w:r>
        <w:t xml:space="preserve"> ОМС в течение не менее трех лет. </w:t>
      </w:r>
    </w:p>
    <w:p w:rsidR="00D31395" w:rsidRDefault="00C2178D" w:rsidP="00BC72AC">
      <w:pPr>
        <w:pStyle w:val="a5"/>
        <w:spacing w:before="0" w:beforeAutospacing="0" w:after="0" w:afterAutospacing="0"/>
        <w:ind w:firstLineChars="157" w:firstLine="377"/>
        <w:jc w:val="both"/>
      </w:pPr>
      <w:r>
        <w:t xml:space="preserve">До приобретения установленных частью 1 статьи 16 Федерального закона N 326-ФЗ прав вышеуказанной категории застрахованных лиц оказывается медицинская помощь на территории </w:t>
      </w:r>
      <w:r>
        <w:t>РФ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РФ от 06.03.2013 N 186.</w:t>
      </w:r>
    </w:p>
    <w:p w:rsidR="00D31395" w:rsidRDefault="00D31395" w:rsidP="00BC72AC">
      <w:pPr>
        <w:spacing w:after="0"/>
        <w:ind w:firstLineChars="157" w:firstLine="377"/>
        <w:jc w:val="right"/>
        <w:rPr>
          <w:rFonts w:ascii="Times New Roman" w:eastAsia="sans-serif" w:hAnsi="Times New Roman"/>
          <w:sz w:val="24"/>
          <w:szCs w:val="24"/>
          <w:shd w:val="clear" w:color="auto" w:fill="FFFFFF"/>
        </w:rPr>
      </w:pPr>
    </w:p>
    <w:p w:rsidR="00D31395" w:rsidRDefault="00C2178D" w:rsidP="00D31395">
      <w:pPr>
        <w:spacing w:after="0"/>
        <w:ind w:firstLineChars="157" w:firstLine="377"/>
        <w:jc w:val="right"/>
      </w:pPr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>
        <w:rPr>
          <w:rFonts w:ascii="Times New Roman" w:eastAsia="sans-serif" w:hAnsi="Times New Roman"/>
          <w:sz w:val="24"/>
          <w:szCs w:val="24"/>
          <w:shd w:val="clear" w:color="auto" w:fill="FFFFFF"/>
        </w:rPr>
        <w:t>, 1997-2022</w:t>
      </w:r>
    </w:p>
    <w:sectPr w:rsidR="00D31395">
      <w:pgSz w:w="11906" w:h="16838"/>
      <w:pgMar w:top="1134" w:right="850" w:bottom="1134" w:left="1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8D" w:rsidRDefault="00C2178D">
      <w:pPr>
        <w:spacing w:line="240" w:lineRule="auto"/>
      </w:pPr>
      <w:r>
        <w:separator/>
      </w:r>
    </w:p>
  </w:endnote>
  <w:endnote w:type="continuationSeparator" w:id="0">
    <w:p w:rsidR="00C2178D" w:rsidRDefault="00C2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8D" w:rsidRDefault="00C2178D">
      <w:pPr>
        <w:spacing w:after="0"/>
      </w:pPr>
      <w:r>
        <w:separator/>
      </w:r>
    </w:p>
  </w:footnote>
  <w:footnote w:type="continuationSeparator" w:id="0">
    <w:p w:rsidR="00C2178D" w:rsidRDefault="00C21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473"/>
    <w:rsid w:val="001032D4"/>
    <w:rsid w:val="00160D72"/>
    <w:rsid w:val="00172A27"/>
    <w:rsid w:val="00352700"/>
    <w:rsid w:val="003D1D65"/>
    <w:rsid w:val="005D0BA5"/>
    <w:rsid w:val="007C0509"/>
    <w:rsid w:val="00933902"/>
    <w:rsid w:val="009A2CD9"/>
    <w:rsid w:val="00AA2B2E"/>
    <w:rsid w:val="00B22EA0"/>
    <w:rsid w:val="00B41610"/>
    <w:rsid w:val="00B416C6"/>
    <w:rsid w:val="00BC72AC"/>
    <w:rsid w:val="00C2178D"/>
    <w:rsid w:val="00C64504"/>
    <w:rsid w:val="00D31395"/>
    <w:rsid w:val="00FB3A07"/>
    <w:rsid w:val="398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nw/2022-09-02/click/consultant/?dst=http://www.consultant.ru/cons/cgi/online.cgi?req=doc&amp;base=LAW&amp;n=419231&amp;dst=100133&amp;utm_campaign=nw&amp;utm_source=consultant&amp;utm_medium=email&amp;utm_content=body" TargetMode="External"/><Relationship Id="rId13" Type="http://schemas.openxmlformats.org/officeDocument/2006/relationships/hyperlink" Target="http://www.consultant.ru/cabinet/stat/fd/2022-09-02/click/consultant/?dst=http%3A%2F%2Fwww.consultant.ru%2Flaw%2Freview%2Flink%2F%3Fid%3D208391601&amp;utm_campaign=fd&amp;utm_source=consultant&amp;utm_medium=email&amp;utm_content=body" TargetMode="External"/><Relationship Id="rId18" Type="http://schemas.openxmlformats.org/officeDocument/2006/relationships/hyperlink" Target="http://www.consultant.ru/cabinet/stat/fd/2022-09-05/click/consultant/?dst=http%3A%2F%2Fwww.consultant.ru%2Fdocument%2Fcons_doc_LAW_425746%2F&amp;utm_campaign=fd&amp;utm_source=consultant&amp;utm_medium=email&amp;utm_content=bod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abinet/stat/nw/2022-09-02/click/consultant/?dst=http://www.consultant.ru/cons/cgi/online.cgi?req=doc&amp;base=LAW&amp;n=421888&amp;dst=100012&amp;utm_campaign=nw&amp;utm_source=consultant&amp;utm_medium=email&amp;utm_content=body" TargetMode="External"/><Relationship Id="rId12" Type="http://schemas.openxmlformats.org/officeDocument/2006/relationships/hyperlink" Target="http://www.consultant.ru/cabinet/stat/fd/2022-09-02/click/consultant/?dst=http%3A%2F%2Fwww.consultant.ru%2Fdocument%2Fcons_doc_LAW_425663%2F&amp;utm_campaign=fd&amp;utm_source=consultant&amp;utm_medium=email&amp;utm_content=body" TargetMode="External"/><Relationship Id="rId17" Type="http://schemas.openxmlformats.org/officeDocument/2006/relationships/hyperlink" Target="http://www.consultant.ru/cabinet/stat/fd/2022-09-05/click/consultant/?dst=http%3A%2F%2Fwww.consultant.ru%2Fdocument%2Fcons_doc_LAW_425718%2F&amp;utm_campaign=fd&amp;utm_source=consultant&amp;utm_medium=email&amp;utm_content=bo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abinet/stat/fd/2022-09-05/click/consultant/?dst=http%3A%2F%2Fwww.consultant.ru%2Fdocument%2Fcons_doc_LAW_425749%2F&amp;utm_campaign=fd&amp;utm_source=consultant&amp;utm_medium=email&amp;utm_content=body" TargetMode="External"/><Relationship Id="rId20" Type="http://schemas.openxmlformats.org/officeDocument/2006/relationships/hyperlink" Target="http://www.consultant.ru/cabinet/stat/fd/2022-09-07/click/consultant/?dst=http%3A%2F%2Fwww.consultant.ru%2Fdocument%2Fcons_doc_LAW_425995%2F&amp;utm_campaign=fd&amp;utm_source=consultant&amp;utm_medium=email&amp;utm_content=bod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abinet/stat/fd/2022-09-02/click/consultant/?dst=http%3A%2F%2Fwww.consultant.ru%2Fdocument%2Fcons_doc_LAW_425661%2F&amp;utm_campaign=fd&amp;utm_source=consultant&amp;utm_medium=email&amp;utm_content=bo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abinet/stat/fd/2022-09-05/click/consultant/?dst=http%3A%2F%2Fwww.consultant.ru%2Fdocument%2Fcons_doc_LAW_425819%2F&amp;utm_campaign=fd&amp;utm_source=consultant&amp;utm_medium=email&amp;utm_content=body" TargetMode="External"/><Relationship Id="rId10" Type="http://schemas.openxmlformats.org/officeDocument/2006/relationships/hyperlink" Target="http://www.consultant.ru/cabinet/stat/nw/2022-09-02/click/consultant/?dst=https://login.consultant.ru/link/?req=doc&amp;base=CJI&amp;n=108887&amp;dst=100009&amp;demo=1&amp;utm_campaign=nw&amp;utm_source=consultant&amp;utm_medium=email&amp;utm_content=body" TargetMode="External"/><Relationship Id="rId19" Type="http://schemas.openxmlformats.org/officeDocument/2006/relationships/hyperlink" Target="http://www.consultant.ru/cabinet/stat/fd/2022-09-05/click/consultant/?dst=http%3A%2F%2Fwww.consultant.ru%2Fdocument%2Fcons_doc_LAW_425725%2F&amp;utm_campaign=fd&amp;utm_source=consultant&amp;utm_medium=email&amp;utm_content=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nw/2022-09-02/click/consultant/?dst=https://login.consultant.ru/link/?req=doc&amp;base=CJI&amp;n=135854&amp;dst=100010&amp;demo=1&amp;utm_campaign=nw&amp;utm_source=consultant&amp;utm_medium=email&amp;utm_content=body" TargetMode="External"/><Relationship Id="rId14" Type="http://schemas.openxmlformats.org/officeDocument/2006/relationships/hyperlink" Target="http://www.consultant.ru/cabinet/stat/fd/2022-09-05/click/consultant/?dst=http%3A%2F%2Fwww.consultant.ru%2Fdocument%2Fcons_doc_LAW_425727%2F&amp;utm_campaign=fd&amp;utm_source=consultant&amp;utm_medium=email&amp;utm_content=bod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2022-09-09T08:59:00Z</dcterms:created>
  <dcterms:modified xsi:type="dcterms:W3CDTF">2022-09-09T08:59:00Z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B380FFE60BEA4E39AD2EAAC8F7E3C849</vt:lpwstr>
  </property>
</Properties>
</file>