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ind w:left="0" w:leftChars="0" w:firstLine="513" w:firstLineChars="183"/>
        <w:jc w:val="both"/>
        <w:rPr>
          <w:rStyle w:val="6"/>
          <w:rFonts w:hint="default"/>
          <w:sz w:val="28"/>
          <w:szCs w:val="28"/>
          <w:lang w:val="ru-RU"/>
        </w:rPr>
      </w:pPr>
      <w:r>
        <w:rPr>
          <w:rStyle w:val="6"/>
          <w:sz w:val="28"/>
          <w:szCs w:val="28"/>
          <w:lang w:val="ru-RU"/>
        </w:rPr>
        <w:t>ПРАВОВЫЕ</w:t>
      </w:r>
      <w:r>
        <w:rPr>
          <w:rStyle w:val="6"/>
          <w:rFonts w:hint="default"/>
          <w:sz w:val="28"/>
          <w:szCs w:val="28"/>
          <w:lang w:val="ru-RU"/>
        </w:rPr>
        <w:t xml:space="preserve"> НОВОСТИ</w:t>
      </w:r>
    </w:p>
    <w:p>
      <w:pPr>
        <w:pStyle w:val="7"/>
        <w:spacing w:before="0" w:beforeAutospacing="0" w:after="0" w:afterAutospacing="0"/>
        <w:ind w:left="0" w:leftChars="0" w:firstLine="513" w:firstLineChars="183"/>
        <w:jc w:val="both"/>
        <w:rPr>
          <w:rStyle w:val="6"/>
          <w:rFonts w:hint="default"/>
          <w:sz w:val="28"/>
          <w:szCs w:val="28"/>
          <w:lang w:val="ru-RU"/>
        </w:rPr>
      </w:pPr>
    </w:p>
    <w:p>
      <w:pPr>
        <w:pStyle w:val="7"/>
        <w:spacing w:before="0" w:beforeAutospacing="0" w:after="0" w:afterAutospacing="0"/>
        <w:ind w:left="0" w:leftChars="0" w:firstLine="513" w:firstLineChars="183"/>
        <w:jc w:val="both"/>
        <w:rPr>
          <w:rStyle w:val="6"/>
          <w:sz w:val="28"/>
          <w:szCs w:val="28"/>
        </w:rPr>
      </w:pPr>
    </w:p>
    <w:p>
      <w:pPr>
        <w:pStyle w:val="7"/>
        <w:spacing w:before="0" w:beforeAutospacing="0" w:after="0" w:afterAutospacing="0"/>
        <w:ind w:left="0" w:leftChars="0" w:firstLine="513" w:firstLineChars="183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 xml:space="preserve">Согласно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"http://www.consultant.ru/cabinet/stat/fd/2022-11-25/click/consultant/?dst=http%3A%2F%2Fwww.consultant.ru%2Fdocument%2Fcons_doc_LAW_432117%2F&amp;utm_campaign=fd&amp;utm_source=consultant&amp;utm_medium=email&amp;utm_content=body"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Постановлению Правительства РФ от 22.11.2022 N 2110</w:t>
      </w:r>
      <w:r>
        <w:rPr>
          <w:b/>
          <w:bCs/>
          <w:sz w:val="28"/>
          <w:szCs w:val="28"/>
        </w:rPr>
        <w:br w:type="textWrapping"/>
      </w:r>
      <w:r>
        <w:rPr>
          <w:rStyle w:val="5"/>
          <w:b/>
          <w:bCs/>
          <w:color w:val="auto"/>
          <w:sz w:val="28"/>
          <w:szCs w:val="28"/>
          <w:u w:val="none"/>
        </w:rPr>
        <w:t>"О внесении изменений в Положение о порядке выплаты страховой пенсии лицам, выезжающим (выехавшим) на постоянное жительство за пределы территории Российской Федерации"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rStyle w:val="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россияне, постоянно проживающие за границей, смогут подтвердить свое право на пенсию с помощью Единого портала госуслуг.</w:t>
      </w:r>
      <w:r>
        <w:rPr>
          <w:sz w:val="28"/>
          <w:szCs w:val="28"/>
        </w:rPr>
        <w:t xml:space="preserve"> 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 предоставлена возможность подтверждения факта нахождения в живых в целях продолжения выплаты пенсии путем направления в Фонд пенсионного и социального страхования РФ или орган, осуществляющий пенсионное обеспечение на территории РФ, через Единый портал госуслуг соответствующего заявления в форме электронного документа, подписанного усиленной неквалифицированной электронной подписью. Документом также закреплена форма указанного заявления. 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 июля 2023 года.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"http://www.consultant.ru/cabinet/stat/fd/2022-11-25/click/consultant/?dst=http%3A%2F%2Fwww.consultant.ru%2Fdocument%2Fcons_doc_LAW_432114%2F&amp;utm_campaign=fd&amp;utm_source=consultant&amp;utm_medium=email&amp;utm_content=body"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Постановлением Правительства РФ от 23.11.2022 N 2115</w:t>
      </w:r>
      <w:r>
        <w:rPr>
          <w:b/>
          <w:bCs/>
          <w:sz w:val="28"/>
          <w:szCs w:val="28"/>
        </w:rPr>
        <w:br w:type="textWrapping"/>
      </w:r>
      <w:r>
        <w:rPr>
          <w:rStyle w:val="5"/>
          <w:b/>
          <w:bCs/>
          <w:color w:val="auto"/>
          <w:sz w:val="28"/>
          <w:szCs w:val="28"/>
          <w:u w:val="none"/>
        </w:rPr>
        <w:t>"О внесении изменений в постановление Правительства Российской Федерации от 13 октября 2020 г. N 1681"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1 сентября 2023 года в договоре о целевом обучении могут устанавливаться требования к успеваемости гражданина, заключившего такой договор</w:t>
      </w:r>
      <w:r>
        <w:rPr>
          <w:rFonts w:hint="default"/>
          <w:b/>
          <w:bCs/>
          <w:sz w:val="28"/>
          <w:szCs w:val="28"/>
          <w:lang w:val="ru-RU"/>
        </w:rPr>
        <w:t>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успеваемости устанавливаются по соглашению сторон в отношении дисциплин, которые необходимы для осуществления профессиональной деятельности студента. Перечень указанных дисциплин, а также критерии выполнения требований к успеваемости устанавливаются заказчиком и указываются в договоре о целевом обучении. 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тексту документа, неисполнение гражданином требований к успеваемости может привести к расторжению договора о целевом обучении или сокращению материальной поддержки. 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 сентября 2023 года и действует до 1 января 2027 года.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left="0" w:leftChars="0" w:firstLine="513" w:firstLineChars="1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Согласно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"http://www.consultant.ru/cabinet/stat/fd/2022-11-28/click/consultant/?dst=http%3A%2F%2Fwww.consultant.ru%2Flaw%2Freview%2Flink%2F%3Fid%3D208471916&amp;utm_campaign=fd&amp;utm_source=consultant&amp;utm_medium=email&amp;utm_content=body"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Постановлению Правительства РФ от 25.11.2022 N 2143</w:t>
      </w:r>
      <w:r>
        <w:rPr>
          <w:b/>
          <w:bCs/>
          <w:sz w:val="28"/>
          <w:szCs w:val="28"/>
        </w:rPr>
        <w:br w:type="textWrapping"/>
      </w:r>
      <w:r>
        <w:rPr>
          <w:rStyle w:val="5"/>
          <w:b/>
          <w:bCs/>
          <w:color w:val="auto"/>
          <w:sz w:val="28"/>
          <w:szCs w:val="28"/>
          <w:u w:val="none"/>
        </w:rPr>
        <w:t>"О единой предельной величине базы для исчисления страховых взносов с 1 января 2023 г."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1 января 2023 года единая предельная величина базы для исчисления страховых взносов составит 1917000 рублей.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Начиная с 2023 года для плательщиков страховых взносов, производящих выплаты и иные вознаграждения физлицам, устанавливается единая предельная величина базы для их исчисления.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Предельная величина базы устанавливается с учетом размера средней заработной платы в РФ на 2023 год, увеличенного в двенадцать раз, и применяемого к нему коэффициента, установленного пунктом 5.1 статьи 421 НК РФ в размере 2,3.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left="0" w:leftChars="0" w:firstLine="513" w:firstLineChars="18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"http://www.consultant.ru/cabinet/stat/fd/2022-11-28/click/consultant/?dst=http%3A%2F%2Fwww.consultant.ru%2Flaw%2Freview%2Flink%2F%3Fid%3D208471917&amp;utm_campaign=fd&amp;utm_source=consultant&amp;utm_medium=email&amp;utm_content=body"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Постановлению Правительства РФ от 25.11.2022 N 2146</w:t>
      </w:r>
      <w:r>
        <w:rPr>
          <w:b/>
          <w:bCs/>
          <w:sz w:val="28"/>
          <w:szCs w:val="28"/>
        </w:rPr>
        <w:br w:type="textWrapping"/>
      </w:r>
      <w:r>
        <w:rPr>
          <w:rStyle w:val="5"/>
          <w:b/>
          <w:bCs/>
          <w:color w:val="auto"/>
          <w:sz w:val="28"/>
          <w:szCs w:val="28"/>
          <w:u w:val="none"/>
        </w:rPr>
        <w:t>"Об индексации фиксированного размера страховых взносов на обязательное социальное страхование от несчастных случаев на производстве и профессиональных заболеваний, уплачиваемых страхователями, применяющими специальный налоговый режим "Автоматизированная упрощенная система налогообложения"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b/>
          <w:bCs/>
          <w:sz w:val="28"/>
          <w:szCs w:val="28"/>
        </w:rPr>
        <w:t xml:space="preserve"> с 1 января 2023 года фиксированный размер страховых взносов на "травматизм" для налогоплательщиков на АвтоУСН составит 2217 рублей.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Согласно тексту документа для страхователей, применяющих АвтоУСН, фиксированный размер страховых взносов на обязательное социальное страхование от несчастных случаев на производстве и профессиональных заболеваний подлежит индексации в 1,087 раза.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Настоящее постановление вступает в силу с 1 января 2023 года.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"http://www.consultant.ru/cabinet/stat/fd/2022-11-29/click/consultant/?dst=http%3A%2F%2Fwww.consultant.ru%2Fdocument%2Fcons_doc_LAW_432427%2F&amp;utm_campaign=fd&amp;utm_source=consultant&amp;utm_medium=email&amp;utm_content=body"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Постановлением Правительства РФ от 25.11.2022 N 2144 "О внесении изменений в Правила оказания медицинской помощи иностранным гражданам на территории Российской Федерации"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rStyle w:val="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Правила оказания медицинской помощи иностранным гражданам на территории РФ приведены в соответствие с действующим законодательством.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правила внесены в целях реализации вступающих в силу с 1 января 2023 года положений статьи 12 Федерального закона от 14 июля 2022 года N 237-ФЗ, которыми в круг лиц, застрахованных по обязательному медицинскому страхованию, включены также временно пребывающие и осуществляющие трудовую деятельность на территории РФ иностранные граждане и лица без гражданства (за рядом исключений).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 января 2023 года.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"http://www.consultant.ru/cabinet/stat/fd/2022-11-30/click/consultant/?dst=http%3A%2F%2Fwww.consultant.ru%2Flaw%2Freview%2Flink%2F%3Fid%3D208479360&amp;utm_campaign=fd&amp;utm_source=consultant&amp;utm_medium=email&amp;utm_content=body"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Постановлением Правительства РФ от 24.11.2022 N 2134</w:t>
      </w:r>
      <w:r>
        <w:rPr>
          <w:b/>
          <w:bCs/>
          <w:sz w:val="28"/>
          <w:szCs w:val="28"/>
        </w:rPr>
        <w:br w:type="textWrapping"/>
      </w:r>
      <w:r>
        <w:rPr>
          <w:rStyle w:val="5"/>
          <w:b/>
          <w:bCs/>
          <w:color w:val="auto"/>
          <w:sz w:val="28"/>
          <w:szCs w:val="28"/>
          <w:u w:val="none"/>
        </w:rPr>
        <w:t>"О внесении изменений в Постановление Правительства Российской Федерации от 13 марта 2021 г. N 362"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программа субсидирования трудоустройства граждан продлена на 2023 год.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Фондом пенсионного и социального страхования Российской Федерации будут предоставляться субсидии в целях стимулирования занятости отдельных категорий граждан, в том числе: работников, уволенных в связи с ликвидацией организации или находящихся под риском увольнения, за трудоустройство молодых людей в возрасте до 30 лет включительно, а также лиц, прибывших на территорию РФ в экстренном массовом порядке.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 определяется исходя из величины МРОТ, увеличенной на сумму страховых взносов и районный коэффициент, и фактической численности трудоустроенных граждан.</w:t>
      </w:r>
    </w:p>
    <w:p>
      <w:pPr>
        <w:pStyle w:val="7"/>
        <w:spacing w:before="0" w:beforeAutospacing="0" w:after="0" w:afterAutospacing="0"/>
        <w:ind w:left="0" w:leftChars="0" w:firstLine="513" w:firstLineChars="183"/>
        <w:rPr>
          <w:rStyle w:val="6"/>
          <w:sz w:val="28"/>
          <w:szCs w:val="28"/>
        </w:rPr>
      </w:pP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"http://www.consultant.ru/cabinet/stat/fd/2022-11-29/click/consultant/?dst=http%3A%2F%2Fwww.consultant.ru%2Flaw%2Freview%2Flink%2F%3Fid%3D208479195&amp;utm_campaign=fd&amp;utm_source=consultant&amp;utm_medium=email&amp;utm_content=body"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Приказом  Минтруда России от 31.10.2022 N 699н "Об утверждении особенностей проведения специальной оценки условий труда рабочих мест в организациях, осуществляющих отдельные виды деятельности - субъектов 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микропредприятиям", зарегистрированным в Минюсте России 28.11.2022 N 71155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rStyle w:val="6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определены особенности проведения спецоценки условий труда для микропредприятий.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применяются при проведении СОУТ в отношении микропредприятий, осуществляющих деятельность в области информационных технологий, рекламную, финансовую и страховую деятельность, операции с недвижимым имуществом, деятельность библиотек, архивов, музеев и прочих объектов культуры и др.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Документом также определены случаи, в которых установленные особенности не подлежат применению. В частности, особенности не применяются при наличии на микропредприятии рабочих мест, на которых по результатам ранее проведенной специальной оценки условий труда были установлены вредные и (или) опасные условия труда.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Настоящий приказ вступает в силу с 1 марта 2023 года и действует до 1 марта 2029 года.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"http://www.consultant.ru/cabinet/stat/fd/2022-11-30/click/consultant/?dst=http%3A%2F%2Fwww.consultant.ru%2Flaw%2Freview%2Flink%2F%3Fid%3D208479365&amp;utm_campaign=fd&amp;utm_source=consultant&amp;utm_medium=email&amp;utm_content=body"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Приказом Минтруда России от 25.10.2022 N 693н "О признании утратившим силу абзаца второго пункта 24 Правил выплаты пенсий, осуществления контроля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Федерации, определения излишне выплаченных сумм пенсии, утвержденных Приказом Министерства труда и социальной защиты Российской Федерации от 5 августа 2021 г. N 545н", зарегистрированным в Минюсте России 29.11.2022 N 71188,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b/>
          <w:bCs/>
          <w:sz w:val="28"/>
          <w:szCs w:val="28"/>
        </w:rPr>
        <w:t xml:space="preserve"> внесены изменения в порядок удержания из установленной пенсии.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Утратило силу положение, в соответствии с которым удержания по исполнительным документам в размере, не превышающем 20% страховой пенсии, производятся лишь на основании решений органов, осуществляющих пенсионное обеспечение.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Указанное изменение внесено в соответствии с решением Верховного Суда РФ от 31.03.2022 N АКПИ22-32, признавшим данное положение недействующим.</w:t>
      </w:r>
    </w:p>
    <w:p>
      <w:pPr>
        <w:pStyle w:val="7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"http://www.consultant.ru/cabinet/stat/fd/2022-11-30/click/consultant/?dst=http%3A%2F%2Fwww.consultant.ru%2Fdocument%2Fcons_doc_LAW_432556%2F&amp;utm_campaign=fd&amp;utm_source=consultant&amp;utm_medium=email&amp;utm_content=body"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Приказом Роскомнадзора от 28.10.2022 N 179 "Об утверждении Требований к подтверждению уничтожения персональных данных" зарегистрированным в Минюсте России 28.11.2022 N 71167,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установлены требования к подтверждению уничтожения персональных данных.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Так, документами, подтверждающими уничтожение персональных данных, являются: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акт об уничтожении персональных данных - в случае если обработка персональных данных осуществляется оператором без использования средств автоматизации;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акт об уничтожении персональных данных и выгрузка из журнала регистрации событий в информационной системе персональных данных - в случае если обработка персональных данных осуществляется оператором с использованием средств автоматизации.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перечни сведений, которые должны содержать указанные документы.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Настоящий приказ вступает в силу с 1 марта 2023 года и действует до 1 марта 2029 года.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pStyle w:val="2"/>
        <w:spacing w:before="0" w:beforeAutospacing="0" w:after="0" w:afterAutospacing="0"/>
        <w:ind w:left="0" w:leftChars="0" w:firstLine="513" w:firstLineChars="183"/>
        <w:jc w:val="both"/>
        <w:rPr>
          <w:b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"http://www.consultant.ru/cabinet/stat/fd/2022-11-30/click/consultant/?dst=http%3A%2F%2Fwww.consultant.ru%2Flaw%2Freview%2Flink%2F%3Fid%3D208479386&amp;utm_campaign=fd&amp;utm_source=consultant&amp;utm_medium=email&amp;utm_content=body"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Cs w:val="0"/>
          <w:color w:val="auto"/>
          <w:sz w:val="28"/>
          <w:szCs w:val="28"/>
          <w:u w:val="none"/>
        </w:rPr>
        <w:t>Приказом Минэкономразвития России от 11.11.2022 N 617</w:t>
      </w:r>
      <w:r>
        <w:rPr>
          <w:bCs w:val="0"/>
          <w:sz w:val="28"/>
          <w:szCs w:val="28"/>
        </w:rPr>
        <w:br w:type="textWrapping"/>
      </w:r>
      <w:r>
        <w:rPr>
          <w:rStyle w:val="5"/>
          <w:bCs w:val="0"/>
          <w:color w:val="auto"/>
          <w:sz w:val="28"/>
          <w:szCs w:val="28"/>
          <w:u w:val="none"/>
        </w:rPr>
        <w:t>"Об утверждении требований к средствам размещения, используемым для осуществления деятельности по оказанию услуг в сфере сельского туризма в сельской местности" зарегистрированным в Минюсте России 29.11.2022 N 71204,</w:t>
      </w:r>
      <w:r>
        <w:rPr>
          <w:rStyle w:val="5"/>
          <w:bCs w:val="0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bCs w:val="0"/>
          <w:sz w:val="28"/>
          <w:szCs w:val="28"/>
        </w:rPr>
        <w:t>с 1 марта 2023 года устанавливаются требования к средствам размещения, используемым для осуществления деятельности по оказанию услуг в сфере сельского туризма.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Определено в числе прочего, как и чем должно быть оснащено средство размещения, какие условия предъявляются к санитарным объектам общего пользования, а также к помещениям, предназначенным для размещения туристов.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Настоящий приказ действует до 1 марта 2029 года.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pStyle w:val="2"/>
        <w:spacing w:before="0" w:beforeAutospacing="0" w:after="0" w:afterAutospacing="0"/>
        <w:ind w:left="0" w:leftChars="0" w:firstLine="513" w:firstLineChars="183"/>
        <w:jc w:val="both"/>
        <w:rPr>
          <w:b/>
          <w:bCs w:val="0"/>
          <w:sz w:val="28"/>
          <w:szCs w:val="28"/>
        </w:rPr>
      </w:pPr>
      <w:r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"http://www.consultant.ru/cabinet/stat/fd/2022-12-01/click/consultant/?dst=http%3A%2F%2Fwww.consultant.ru%2Fdocument%2Fcons_doc_LAW_432726%2F&amp;utm_campaign=fd&amp;utm_source=consultant&amp;utm_medium=email&amp;utm_content=body"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Cs w:val="0"/>
          <w:color w:val="auto"/>
          <w:sz w:val="28"/>
          <w:szCs w:val="28"/>
          <w:u w:val="none"/>
        </w:rPr>
        <w:t>Приказу Минтранса России от 28.09.2022 N 390  "Об утверждении состава сведений, указанных в части 3 статьи 6 Федерального закона от 8 ноября 2007 г. N 259-ФЗ "Устав автомобильного транспорта и городского наземного электрического транспорта", и порядка оформления или формирования путевого листа", зарегистрированному в Минюсте России 29.11.2022 N 71192,</w:t>
      </w:r>
      <w:r>
        <w:rPr>
          <w:rStyle w:val="5"/>
          <w:bCs w:val="0"/>
          <w:color w:val="auto"/>
          <w:sz w:val="28"/>
          <w:szCs w:val="28"/>
          <w:u w:val="none"/>
        </w:rPr>
        <w:fldChar w:fldCharType="end"/>
      </w:r>
      <w:r>
        <w:rPr>
          <w:rStyle w:val="6"/>
          <w:b w:val="0"/>
          <w:bCs w:val="0"/>
          <w:sz w:val="28"/>
          <w:szCs w:val="28"/>
        </w:rPr>
        <w:t xml:space="preserve"> </w:t>
      </w:r>
      <w:r>
        <w:rPr>
          <w:rStyle w:val="6"/>
          <w:b/>
          <w:bCs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1 марта 2023 г. </w:t>
      </w:r>
      <w:r>
        <w:rPr>
          <w:b/>
          <w:bCs w:val="0"/>
          <w:sz w:val="28"/>
          <w:szCs w:val="28"/>
        </w:rPr>
        <w:t>актуализируются обязательные реквизиты путевых листов и порядок их заполнения.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Приводятся состав сведений путевого листа и порядок его оформления или формирования.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Признается утратившим силу аналогичный Приказ Минтранса России от 11 сентября 2020 г. N 368.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Настоящий приказ действует до 1 марта 2029 г.</w:t>
      </w:r>
    </w:p>
    <w:p>
      <w:pPr>
        <w:ind w:left="0" w:leftChars="0" w:firstLine="512" w:firstLineChars="183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"http://www.consultant.ru/cabinet/stat/fd/2022-12-01/click/consultant/?dst=https%3A%2F%2Flogin.consultant.ru%2Fdemo-access%2F&amp;utm_campaign=demo-access&amp;utm_source=consultant&amp;utm_medium=email&amp;utm_content=middle_banner" \t "_blank" </w:instrText>
      </w:r>
      <w:r>
        <w:rPr>
          <w:sz w:val="28"/>
          <w:szCs w:val="28"/>
        </w:rPr>
        <w:fldChar w:fldCharType="separate"/>
      </w:r>
      <w:r>
        <w:rPr>
          <w:color w:val="0000FF"/>
          <w:sz w:val="28"/>
          <w:szCs w:val="28"/>
        </w:rPr>
        <w:pict>
          <v:shape id="_x0000_i1025" o:spt="75" alt="Получить доступ" type="#_x0000_t75" href="http://www.consultant.ru/cabinet/stat/fd/2022-12-01/click/consultant/?dst=https%3A%2F%2Flogin.consultant.ru%2Fdemo-access%2F&amp;utm_campaign=demo-access&amp;utm_source=consultant&amp;utm_medium=email&amp;utm_content=middle_banner" style="height:67.65pt;width:240pt;" o:button="t" filled="f" o:preferrelative="t" stroked="f" coordsize="21600,21600">
            <v:path/>
            <v:fill on="f" focussize="0,0"/>
            <v:stroke on="f" joinstyle="miter"/>
            <v:imagedata o:title=""/>
            <o:lock v:ext="edit" aspectratio="t"/>
            <w10:wrap type="none"/>
            <w10:anchorlock/>
          </v:shape>
        </w:pict>
      </w:r>
      <w:r>
        <w:rPr>
          <w:color w:val="0000FF"/>
          <w:sz w:val="28"/>
          <w:szCs w:val="28"/>
        </w:rPr>
        <w:fldChar w:fldCharType="end"/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"http://www.consultant.ru/cabinet/stat/fd/2022-11-30/click/consultant/?dst=http%3A%2F%2Fwww.consultant.ru%2Fdocument%2Fcons_doc_LAW_432575%2F&amp;utm_campaign=fd&amp;utm_source=consultant&amp;utm_medium=email&amp;utm_content=body"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Согласно Письму ФНС России от 17.05.2022 N ПА-4-6/8100@ "О документе, удостоверяющем личность гражданина Российской Федерации на территории Российской Федерации"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граждане РФ, достигшие 14-летнего возраста, постоянно проживающие за пределами РФ и прибывшие на территорию РФ, независимо от срока проживания обязаны иметь внутренний паспорт.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В письме также приводится правовая позиция Верховного Суда РФ, согласно которой проживание или пребывание гражданина на территории РФ, достигшего 16 лет, без внутреннего паспорта является правонарушением, предусмотренным частью 1 статьи 19.15 КоАП РФ, независимо от наличия у гражданина другого документа, в том числе и заграничного паспорта.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"http://www.consultant.ru/cabinet/stat/fd/2022-11-30/click/consultant/?dst=http%3A%2F%2Fwww.consultant.ru%2Fdocument%2Fcons_doc_LAW_432576%2F&amp;utm_campaign=fd&amp;utm_source=consultant&amp;utm_medium=email&amp;utm_content=body"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 xml:space="preserve"> ФНС России</w:t>
      </w:r>
      <w:r>
        <w:rPr>
          <w:sz w:val="28"/>
          <w:szCs w:val="28"/>
        </w:rPr>
        <w:t xml:space="preserve"> </w:t>
      </w:r>
      <w:r>
        <w:rPr>
          <w:rStyle w:val="5"/>
          <w:b/>
          <w:bCs/>
          <w:color w:val="auto"/>
          <w:sz w:val="28"/>
          <w:szCs w:val="28"/>
          <w:u w:val="none"/>
        </w:rPr>
        <w:t>Письмом от 25.11.2022 N КВ-4-14/15910@ "О постановке на учет физических лиц"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сообщает о постановке на учет граждан РФ с предъявлением в качестве документа, удостоверяющего личность, загранпаспорта.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Гражданин РФ, постоянно проживающий за пределами РФ, в случае если внутренний паспорт ему не оформлялся, может быть поставлен на учет в налоговом органе на основании заявления с предъявлением загранпаспорта.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заявления по почте заказным письмом к заявлению прилагается заверенная копия загранпаспорта. Верность копии на территории иностранного государства может быть засвидетельствована должностным лицом консульского учреждения РФ.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С 22.11.2022 в сервисе "Сведения об ИНН физического лица" на сайте ФНС России 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"https://service.nalog.ru" \t "_blank" </w:instrText>
      </w:r>
      <w:r>
        <w:rPr>
          <w:sz w:val="28"/>
          <w:szCs w:val="28"/>
        </w:rPr>
        <w:fldChar w:fldCharType="separate"/>
      </w:r>
      <w:r>
        <w:rPr>
          <w:rStyle w:val="5"/>
          <w:color w:val="auto"/>
          <w:sz w:val="28"/>
          <w:szCs w:val="28"/>
          <w:u w:val="none"/>
        </w:rPr>
        <w:t>https://service.nalog.ru</w:t>
      </w:r>
      <w:r>
        <w:rPr>
          <w:rStyle w:val="5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>) доступна возможность поиска ИНН физического лица по реквизитам загранпаспорта гражданина Российской Федерации.</w:t>
      </w:r>
    </w:p>
    <w:p>
      <w:pPr>
        <w:pStyle w:val="7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"http://www.consultant.ru/cabinet/stat/fd/2022-11-29/click/consultant/?dst=http%3A%2F%2Fwww.consultant.ru%2Fdocument%2Fcons_doc_LAW_432443%2F&amp;utm_campaign=fd&amp;utm_source=consultant&amp;utm_medium=email&amp;utm_content=body" \t "_blank"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Постановление Конституционного Суда РФ от 24.11.2022 N 51-П</w:t>
      </w:r>
      <w:r>
        <w:rPr>
          <w:b/>
          <w:bCs/>
          <w:sz w:val="28"/>
          <w:szCs w:val="28"/>
        </w:rPr>
        <w:br w:type="textWrapping"/>
      </w:r>
      <w:r>
        <w:rPr>
          <w:rStyle w:val="5"/>
          <w:b/>
          <w:bCs/>
          <w:color w:val="auto"/>
          <w:sz w:val="28"/>
          <w:szCs w:val="28"/>
          <w:u w:val="none"/>
        </w:rPr>
        <w:t>"По делу о проверке конституционности примечания к статье 12.8 Кодекса Российской Федерации об административных правонарушениях в связи с запросом Салехардского городского суда Ямало-Ненецкого автономного округа"</w:t>
      </w:r>
      <w:r>
        <w:rPr>
          <w:sz w:val="28"/>
          <w:szCs w:val="28"/>
        </w:rPr>
        <w:fldChar w:fldCharType="end"/>
      </w:r>
      <w:r>
        <w:rPr>
          <w:rStyle w:val="6"/>
          <w:sz w:val="28"/>
          <w:szCs w:val="28"/>
        </w:rPr>
        <w:t>.</w:t>
      </w:r>
    </w:p>
    <w:p>
      <w:pPr>
        <w:pStyle w:val="8"/>
        <w:spacing w:before="0" w:beforeAutospacing="0" w:after="0" w:afterAutospacing="0"/>
        <w:ind w:left="0" w:leftChars="0" w:firstLine="512" w:firstLineChars="183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КС РФ обязал законодателя устранить пробел в вопросе привлечения к административной ответственности за вождение в состоянии "лекарственного" опьянения</w:t>
      </w:r>
      <w:r>
        <w:rPr>
          <w:rFonts w:hint="default"/>
          <w:sz w:val="28"/>
          <w:szCs w:val="28"/>
          <w:lang w:val="ru-RU"/>
        </w:rPr>
        <w:t>.</w:t>
      </w:r>
      <w:bookmarkStart w:id="0" w:name="_GoBack"/>
      <w:bookmarkEnd w:id="0"/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Не соответствующим Конституции РФ признано примечание к статье 12.8 КоАП РФ как содержащее пробел, препятствующий привлечению к административной ответственности за управление транспортным средством в состоянии опьянения в случае, когда по результатам медицинского освидетельствования в организме водителя обнаруживаются входящие в состав лекарственных препаратов вещества, не относящиеся к этиловому спирту, наркотическим средствам и психотропным веществам, но которые могут ухудшать внимание и реакцию.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Конституционный суд отметил, что, хотя управление транспортным средством под воздействием таких лекарственных препаратов является противоправным деянием, прямо запрещенным ПДД РФ, оно не образует состава административного правонарушения.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Указанный пробел при попытках судов его восполнить порождает риск неоднозначного истолкования и противоречивого применения данного законоположения в производстве по делам об административных правонарушениях в области дорожного движения. Целесообразно исключить возможность его расширительной интерпретации, допускающей распространение на случаи употребления лекарственных препаратов, не содержащих этиловый спирт, наркотические средства и психотропные вещества.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Федеральному законодателю надлежит незамедлительно принять меры к устранению выявленного пробела и вызываемой им неопределенности примечания к статье 12.8 КоАП РФ. Впредь до внесения необходимых изменений управление транспортным средством лицом, употребившим лекарственные препараты, не содержащие этилового спирта, наркотических средств и психотропных веществ, не может служить основанием для привлечения к ответственности, предусмотренной статьей 12.8 и частью 3 статьи 12.27 КоАП РФ.</w:t>
      </w:r>
    </w:p>
    <w:p>
      <w:pPr>
        <w:spacing w:after="0"/>
        <w:ind w:left="0" w:leftChars="0" w:firstLine="512" w:firstLineChars="183"/>
        <w:jc w:val="both"/>
        <w:rPr>
          <w:rFonts w:ascii="Times New Roman" w:hAnsi="Times New Roman" w:eastAsia="Arial"/>
          <w:sz w:val="28"/>
          <w:szCs w:val="28"/>
          <w:shd w:val="clear" w:color="auto" w:fill="FFFFFF"/>
        </w:rPr>
      </w:pPr>
    </w:p>
    <w:p>
      <w:pPr>
        <w:ind w:left="0" w:leftChars="0" w:firstLine="512" w:firstLineChars="183"/>
        <w:jc w:val="right"/>
        <w:rPr>
          <w:rFonts w:ascii="Times New Roman" w:hAnsi="Times New Roman" w:eastAsia="Arial"/>
          <w:sz w:val="28"/>
          <w:szCs w:val="28"/>
          <w:shd w:val="clear" w:color="auto" w:fill="FFFFFF"/>
        </w:rPr>
      </w:pPr>
    </w:p>
    <w:p>
      <w:pPr>
        <w:ind w:left="0" w:leftChars="0" w:firstLine="512" w:firstLineChars="183"/>
        <w:jc w:val="right"/>
        <w:rPr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  <w:shd w:val="clear" w:color="auto" w:fill="FFFFFF"/>
        </w:rPr>
        <w:t>Информация предоставлена</w:t>
      </w:r>
      <w:r>
        <w:rPr>
          <w:rFonts w:ascii="Times New Roman" w:hAnsi="Times New Roman" w:eastAsia="Arial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 w:eastAsia="Arial"/>
          <w:sz w:val="28"/>
          <w:szCs w:val="28"/>
          <w:shd w:val="clear" w:color="auto" w:fill="FFFFFF"/>
        </w:rPr>
        <w:t>© КонсультантПлюс, 1997-2022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6070C"/>
    <w:rsid w:val="00066EBF"/>
    <w:rsid w:val="00387FDC"/>
    <w:rsid w:val="003F7C36"/>
    <w:rsid w:val="00412083"/>
    <w:rsid w:val="004735B2"/>
    <w:rsid w:val="00551A63"/>
    <w:rsid w:val="00565BAB"/>
    <w:rsid w:val="0059192B"/>
    <w:rsid w:val="005B7595"/>
    <w:rsid w:val="006256EB"/>
    <w:rsid w:val="006B0250"/>
    <w:rsid w:val="00703C6B"/>
    <w:rsid w:val="007D0319"/>
    <w:rsid w:val="008332BB"/>
    <w:rsid w:val="008E0FDB"/>
    <w:rsid w:val="00900AFA"/>
    <w:rsid w:val="009577C9"/>
    <w:rsid w:val="00967EC7"/>
    <w:rsid w:val="00A74E56"/>
    <w:rsid w:val="00B25CDC"/>
    <w:rsid w:val="00B5475B"/>
    <w:rsid w:val="00D6070C"/>
    <w:rsid w:val="00D932ED"/>
    <w:rsid w:val="00DA6AE7"/>
    <w:rsid w:val="00E27FF3"/>
    <w:rsid w:val="00E463DA"/>
    <w:rsid w:val="00EA178A"/>
    <w:rsid w:val="6DD3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rev_ann_mr_css_att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42537-FE27-47CC-95BA-2D41F66071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3184</Words>
  <Characters>18155</Characters>
  <Lines>151</Lines>
  <Paragraphs>42</Paragraphs>
  <TotalTime>349</TotalTime>
  <ScaleCrop>false</ScaleCrop>
  <LinksUpToDate>false</LinksUpToDate>
  <CharactersWithSpaces>21297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2022-11-25T08:40:00Z</dcterms:created>
  <dc:creator>User</dc:creator>
  <cp:lastModifiedBy>User</cp:lastModifiedBy>
  <dcterms:modified xsi:type="dcterms:W3CDTF">2022-12-02T10:50:41Z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4383E295230E4A52A5C5B36C65BEDAD7</vt:lpwstr>
  </property>
</Properties>
</file>