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Предстоящие нововведения в 2023 году</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C начала года россиян ждет сразу несколько крупных изменений: цифровая денежная реформа, повышение прожиточного минимума и введение единого налогового платежа, средства для которого будут вносить на специальный счет. Для водителей устанавливаются госпошлины за регистрационные действия, которые раньше были бесплатными. Подробнее об этих и других нововведениях января — в обзоре «Известий».</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Увеличение прожиточного минимума и МРОТа</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 начале года в России будет установлен новый прожиточный минимум. Он увеличится на 3,3% и в среднем по стране составит 14375 рублей на душу населения (сейчас — 13 919 рублей). Для трудоспособных граждан — 15669 рублей, для пенсионеров — 12363 рубля, для детей — 13944 рубля.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будет увеличен минимальный размер оплаты труда — с января 2023 года федеральный МРОТ станет равен 16 242 рублям (сейчас — 15279 рублей). Показатель проиндексируют на 6,3%, благодаря чему вырастет и заработная плата работников бюджетной сферы. Соответствующий закон Владимир Путин подписал в декабре.</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Напомним, величина минимальной зарплаты может варьироваться в зависимости от региона, но не должна быть ниже федерального показателя. От него также зависит размер пособий и социальных выплат по временной нетрудоспособности, беременности и родам.</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этом, согласно принятым ранее поправкам, при расчете МРОТа не будет учитываться величина медианной заработной платы.</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Ликвидация ПФР и индексация пенсий</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2023 году начнет работу Фонд пенсионного и социального страхования РФ, созданный в результате слияния Фонда социального страхования и Пенсионного фонда. Последний был закрыт из-за высоких расходов на содержание структуры и необходимости цифровизации данных.</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Новая организация СФР возьмет на себя функции по работе с пенсионерами, выплатой ежемесячных платежей и пособий. Объединение повлечет введение единого тарифа страховых взносов, установление единого круга застрахованных лиц и единой предельной и облагаемой базы по страховым взносам.</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перечень застрахованных лиц по обязательному пенсионному, социальному и медицинскому страхованию войдут новые категории сотрудников. Так, за временно пребывающих на территории России иностранцев придется платить взносы на ОМС, а сотрудники, оформленные по договору ГПХ, будут получать пособия по временной нетрудоспособности, беременности и родам, по уходу за ребенком.</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этом нормативные акты реорганизованных учреждений продолжат действовать, пока не издадут новый, уже единый, акт, а получать необходимые справки и выписки по-прежнему можно будет через «Госуслуги» или специалистов МФЦ.</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Министерство труда разработало новые параметры индексации страховой пенсии на 2023−2025 год. Так, минимальный размер пособия будет повышаться на 6,8% ежегодно и с января составит 12363 рубля, а среднегодовой показатель по стране — 22174 рубля.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Новое детское пособие</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1 января будет введено единое пособие на детей в возрасте до 17 лет. Получить его смогут малоимущие семьи, чей среднедушевой доход ниже регионального прожиточного минимума. Данное пособие заменит существующие ежемесячные выплаты в связи с рождением или усыновлением ребенка до достижения им возраста трех лет, ежемесячную выплату на ребенка в возрасте от трех до семи лет включительно и ежемесячную денежную выплату на ребенка в возрасте от восьми до 17 лет.</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Размер пособия будет зависеть от доходов семьи и составит 50, 75 или 100% регионального прожиточного минимума для детей. Таким образом получится объединить все существующие меры поддержки родителей и беременных женщин с низким уровнем дохода. Для получения новой соцподдержки нужно будет обратиться с заявлением в СФР.</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Единый налоговый платеж и новые сроки уплаты налогов</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Физические и юридические лица в России с января будут оплачивать налоги, страховые взносы и сборы единым налоговым платежом (ЕПН). Налоговая инспекция сама будет распределять поступившие денежные средства в счет исполнения налоговой обязанности. ЕНП станет единственным способом уплаты всех налогов, платеж нужно будет вносить на единый налоговый счет не позднее крайнего срока уплаты того или иного взноса. Деньги на счете будут накапливаться.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для физических лиц установлен новый срок уплаты НДФЛ в бюджет — до 28-го числа текущего месяца. При этом расчетный период тоже сдвинулся: вместо календарного месяца рассчитывать и перечислять налог будут с 23-го числа прошлого по 22-е число текущего месяца. Для организаций и ИП общим единым сроком уплаты налогов, страховых взносов и прочих обязательных платежей станет 28-е число соответствующего месяца.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Помимо этого, изменился порядок формы предоставляемой отчетности по НДФЛ. Квартальную 6-НДФЛ надо сдавать в налоговую не позднее 25-го числа месяца, следующего за отчетным периодом, а годовую форму — до 25 февраля следующего года. Причем отчетность за 2022 год, сдаваемую в следующем году, следует отправить уже в новый срок.</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1 января 2023 года отменят положение статьи 223 НК РФ, по которому при выплате аванса не удерживали НДФЛ. Это значит, что удерживать НДФЛ будет нужно при каждой выплате оплаты труда, однако общая сумма налога при этом измениться не должна.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Изменения в выплате зарплат и отпускных в 2023</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минимальной заплаты вырастет в соответствии с МРОТом и составит 16242 рубля.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изменятся сроки выплаты отпускных — в наступающем году работодатель должен начислить денежные средства сотруднику за два дня до отпуска или даже после завершения отпуска. На данный момент отпускные выплачиваются как минимум за три рабочих дня до начала отпуска.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Изменения затронут ситуации, когда сотрудник подает заявление на отпуск за три дня и меньше до его начала. Если работник получает зарплату через кассу, то отпускные ему выдадут после выхода из отпуска. В случае если зарплата приходит на банковскую карту, полагающуюся выплату должны перевести не позднее двух рабочих дней, следующих за днем подачи заявления на отпуск. Такие новшества позволят работодателю согласовывать отпуск по инициативе сотрудника в срочном порядке.</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Однако Трудовым кодексом не запрещено выплачивать отпускные раньше — в документе установлен лишь предельный срок выплаты.</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Новая трудовая книжка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данного документа вводится новая форма и вкладыши. Так, бланки трудовых книжек покроют новой полиграфической продукцией уровня защиты В. Разделы со сведениями о работе расширятся: 14 разворотов в трудовой книжке и 12 во вкладыше. А вот листов с информацией о награждениях станет меньше: семь и пять разворотов в трудовой и во вкладыше соответственно.</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этом сам перечень награждений и поощрений, которые в следующем году нужно вносить в трудовую, дополнили — теперь в нем учитываются выданные правительством или президентом награды, награждения региональных и федеральных органов исполнительной власти и награды от органов местного самоуправления и профсоюзов.</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2023 года бланки не обязательно заполнять только гелевыми и перьевыми ручками. Записи станет возможным вносить на принтере, краской, стойкими чернилами или оттиском штампа.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этом именующиеся у работодателей документы старого образца останутся действительными и могут использоваться без ограничения срока.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Изменения для водителей в 2023</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января 2023 года для автовладельцев начнут действовать новая государственная пошлина и увеличенные акцизы на легковые автомобили.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частности, пошлину в 1 тыс. рублей придется заплатить за выдачу разрешения на внесение изменений в конструкцию находящегося в эксплуатации колесного транспортного средства. Такую же сумму будут уплачивать за повторное получение разрешения взамен утраченного или пришедшего в негодность.</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предусмотрены госпошлины в размере 1 тыс. рублей и 1,5 тыс. рублей за продление срока действия свидетельства о допуске транспортного средства к перевозке опасных грузов и выдачу свидетельства о допуске транспортного средства к перевозке опасных грузов соответственно. Кроме того, с 800 до 1,5 тыс. рублей увеличена пошлина за выдачу свидетельства о безопасности транспортного средства с измененной конструкцией. Ранее эти регистрационные действия были бесплатными.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Повышаются акцизы на легковые автомобили и мотоциклы. Сумма такого налога будет зависеть от мощности двигателя транспортного средства.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этом в новом году не планируется продление скидки в 30% при оплате госпошлин через портал «Госуслуги». А долги по штрафам </w:t>
      </w:r>
      <w:r>
        <w:fldChar w:fldCharType="begin"/>
      </w:r>
      <w:r>
        <w:instrText xml:space="preserve"> HYPERLINK "https://news.mail.ru/company/gibdd/" \t "_blank" </w:instrText>
      </w:r>
      <w:r>
        <w:fldChar w:fldCharType="separate"/>
      </w:r>
      <w:r>
        <w:rPr>
          <w:rFonts w:ascii="Times New Roman" w:hAnsi="Times New Roman" w:eastAsia="Times New Roman" w:cs="Times New Roman"/>
          <w:sz w:val="24"/>
          <w:szCs w:val="24"/>
          <w:lang w:eastAsia="ru-RU"/>
        </w:rPr>
        <w:t>ГИБДД</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и другим задолженностям будут списывать с банковских карт и счетов граждан без оформления бумажных документов.</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firstLine="709"/>
        <w:jc w:val="both"/>
        <w:outlineLvl w:val="1"/>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Цифровые рубли и активы</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1 января россияне получат возможность использовать цифровые деньги для оплаты своих счетов благодаря введению цифрового рубля. Еще на этапе тестирования некоторые российские банки отметили, что нововведение позволит улучшить жизнь граждан и будет способствовать стабильности экономики.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Помимо этого, в самом начале года вступает в силу форма отчетности об операциях по отчуждению цифровых финансовых активов. Информацию о таких операциях операторы систем, в которых были выпущены цифровые активы или права, обязаны будут представлять в ИФНС. При этом будут предоставлять данные не только о собственнике, но и о каждом пользователе, который так или иначе принимал участие в операции по отчуждению.</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из нововведений января стоит обратить внимание на увеличение срока для оплаты штрафов (20 дней вместо 10) и отмену справки 182н для работодателей. С 2023 года им больше не нужно предоставлять сотруднику справку о доходах и начисленных страховых взносах — эта функция переходит к СФР.</w:t>
      </w:r>
    </w:p>
    <w:p>
      <w:pPr>
        <w:spacing w:after="0"/>
        <w:ind w:firstLine="709"/>
        <w:jc w:val="both"/>
        <w:rPr>
          <w:sz w:val="24"/>
          <w:szCs w:val="24"/>
        </w:rPr>
      </w:pPr>
    </w:p>
    <w:p>
      <w:pPr>
        <w:pStyle w:val="8"/>
        <w:spacing w:before="0" w:beforeAutospacing="0" w:after="0" w:afterAutospacing="0"/>
        <w:ind w:firstLine="709"/>
        <w:jc w:val="both"/>
      </w:pPr>
      <w:r>
        <w:rPr>
          <w:rStyle w:val="7"/>
        </w:rPr>
        <w:fldChar w:fldCharType="begin"/>
      </w:r>
      <w:r>
        <w:rPr>
          <w:rStyle w:val="7"/>
        </w:rPr>
        <w:instrText xml:space="preserve"> HYPERLINK "http://www.consultant.ru/cabinet/stat/fd/2022-12-29/click/consultant/?dst=http%3A%2F%2Fwww.consultant.ru%2Fdocument%2Fcons_doc_LAW_435717%2F&amp;utm_campaign=fd&amp;utm_source=consultant&amp;utm_medium=email&amp;utm_content=body" \t "_blank" </w:instrText>
      </w:r>
      <w:r>
        <w:rPr>
          <w:rStyle w:val="7"/>
        </w:rPr>
        <w:fldChar w:fldCharType="separate"/>
      </w:r>
      <w:r>
        <w:rPr>
          <w:rStyle w:val="6"/>
          <w:b/>
          <w:bCs/>
          <w:color w:val="auto"/>
          <w:u w:val="none"/>
        </w:rPr>
        <w:t>Федеральным законом от 28.12.2022 N 554-ФЗ "О внесении изменения в статью 2 Федерального закона "О внесении изменения в статью 24.1 Федерального закона "О развитии малого и среднего предпринимательства в Российской Федерации"</w:t>
      </w:r>
      <w:r>
        <w:rPr>
          <w:rStyle w:val="7"/>
        </w:rPr>
        <w:fldChar w:fldCharType="end"/>
      </w:r>
      <w:r>
        <w:rPr>
          <w:rStyle w:val="7"/>
        </w:rPr>
        <w:t xml:space="preserve"> </w:t>
      </w:r>
      <w:r>
        <w:rPr>
          <w:b/>
          <w:bCs/>
        </w:rPr>
        <w:t xml:space="preserve">на 2024 год продлен статус социального предприятия для ряда субъектов МСП, реализующих книжную продукцию. </w:t>
      </w:r>
    </w:p>
    <w:p>
      <w:pPr>
        <w:pStyle w:val="8"/>
        <w:spacing w:before="0" w:beforeAutospacing="0" w:after="0" w:afterAutospacing="0"/>
        <w:ind w:firstLine="709"/>
        <w:jc w:val="both"/>
      </w:pPr>
      <w:r>
        <w:t xml:space="preserve">Речь идет о субъектах малого и среднего предпринимательства, осуществляющих деятельность по реализации книжной продукции для детей и юношества, учебной, просветительской и справочной литературы. </w:t>
      </w:r>
    </w:p>
    <w:p>
      <w:pPr>
        <w:pStyle w:val="8"/>
        <w:spacing w:before="0" w:beforeAutospacing="0" w:after="0" w:afterAutospacing="0"/>
        <w:ind w:firstLine="709"/>
        <w:jc w:val="both"/>
        <w:rPr>
          <w:rFonts w:ascii="Times New Roman" w:hAnsi="Times New Roman" w:cs="Times New Roman"/>
          <w:sz w:val="24"/>
          <w:szCs w:val="24"/>
        </w:rPr>
      </w:pPr>
      <w:r>
        <w:t xml:space="preserve">Для таких предпринимателей статус социальных предприятий продлен до 31 декабря 2024 года включительно. </w:t>
      </w:r>
      <w:r>
        <w:rPr>
          <w:rFonts w:ascii="Times New Roman" w:hAnsi="Times New Roman" w:cs="Times New Roman"/>
          <w:sz w:val="24"/>
          <w:szCs w:val="24"/>
        </w:rPr>
        <w:t>Федеральный закон вступает в силу со дня его официального опубликования (Официальный интернет-портал правовой информации http://pravo.gov.ru, 28.12.2022).</w:t>
      </w:r>
    </w:p>
    <w:p>
      <w:pPr>
        <w:pStyle w:val="8"/>
        <w:spacing w:before="0" w:beforeAutospacing="0" w:after="0" w:afterAutospacing="0"/>
        <w:jc w:val="both"/>
      </w:pPr>
    </w:p>
    <w:p>
      <w:pPr>
        <w:pStyle w:val="8"/>
        <w:spacing w:before="0" w:beforeAutospacing="0" w:after="0" w:afterAutospacing="0"/>
        <w:ind w:firstLine="709"/>
        <w:jc w:val="both"/>
        <w:rPr>
          <w:b/>
          <w:bCs/>
        </w:rPr>
      </w:pPr>
      <w:r>
        <w:rPr>
          <w:rStyle w:val="7"/>
        </w:rPr>
        <w:t xml:space="preserve">Согласно </w:t>
      </w:r>
      <w:r>
        <w:fldChar w:fldCharType="begin"/>
      </w:r>
      <w:r>
        <w:instrText xml:space="preserve"> HYPERLINK "http://www.consultant.ru/cabinet/stat/fd/2022-12-29/click/consultant/?dst=http%3A%2F%2Fwww.consultant.ru%2Fdocument%2Fcons_doc_LAW_435709%2F&amp;utm_campaign=fd&amp;utm_source=consultant&amp;utm_medium=email&amp;utm_content=body" \t "_blank" </w:instrText>
      </w:r>
      <w:r>
        <w:fldChar w:fldCharType="separate"/>
      </w:r>
      <w:r>
        <w:rPr>
          <w:rStyle w:val="6"/>
          <w:b/>
          <w:bCs/>
          <w:color w:val="auto"/>
          <w:u w:val="none"/>
        </w:rPr>
        <w:t>Федеральному закону от 28.12.2022 N 567-ФЗ "О внесении изменений в Федеральный закон "Об индивидуальном (персонифицированном) учете в системах обязательного пенсионного страхования и обязательного социального страхования"</w:t>
      </w:r>
      <w:r>
        <w:rPr>
          <w:rStyle w:val="6"/>
          <w:b/>
          <w:bCs/>
          <w:color w:val="auto"/>
          <w:u w:val="none"/>
        </w:rPr>
        <w:fldChar w:fldCharType="end"/>
      </w:r>
      <w:r>
        <w:rPr>
          <w:rStyle w:val="7"/>
        </w:rPr>
        <w:t xml:space="preserve"> с</w:t>
      </w:r>
      <w:r>
        <w:t xml:space="preserve"> </w:t>
      </w:r>
      <w:r>
        <w:rPr>
          <w:b/>
          <w:bCs/>
        </w:rPr>
        <w:t xml:space="preserve">1 января 2023 года упрощается процедура оформления СНИЛС для иностранцев. </w:t>
      </w:r>
    </w:p>
    <w:p>
      <w:pPr>
        <w:pStyle w:val="8"/>
        <w:spacing w:before="0" w:beforeAutospacing="0" w:after="0" w:afterAutospacing="0"/>
        <w:ind w:firstLine="709"/>
        <w:jc w:val="both"/>
      </w:pPr>
      <w:r>
        <w:t xml:space="preserve">Законом устанавливается, что на территории РФ индивидуальный лицевой счет на иностранного гражданина или лицо без гражданства может быть открыт также на основании сведений о них, поступающих из Единой системы идентификации и аутентификации (ЕСИА). Это возможно при наличии в ЕСИА сведений о документе, удостоверяющем личность иностранного гражданина или лица без гражданства, прошедших проверку достоверности. </w:t>
      </w:r>
    </w:p>
    <w:p>
      <w:pPr>
        <w:pStyle w:val="8"/>
        <w:spacing w:before="0" w:beforeAutospacing="0" w:after="0" w:afterAutospacing="0"/>
        <w:ind w:firstLine="709"/>
        <w:jc w:val="both"/>
      </w:pPr>
      <w:r>
        <w:t>Федеральный закон вступает в силу с 1 января 2023 года.</w:t>
      </w:r>
    </w:p>
    <w:p>
      <w:pPr>
        <w:pStyle w:val="8"/>
        <w:spacing w:before="0" w:beforeAutospacing="0" w:after="0" w:afterAutospacing="0"/>
        <w:ind w:firstLine="709"/>
        <w:jc w:val="both"/>
      </w:pPr>
    </w:p>
    <w:p>
      <w:pPr>
        <w:pStyle w:val="8"/>
        <w:spacing w:before="0" w:beforeAutospacing="0" w:after="0" w:afterAutospacing="0"/>
        <w:ind w:firstLine="709"/>
        <w:jc w:val="both"/>
        <w:rPr>
          <w:b/>
          <w:bCs/>
        </w:rPr>
      </w:pPr>
      <w:r>
        <w:fldChar w:fldCharType="begin"/>
      </w:r>
      <w:r>
        <w:instrText xml:space="preserve"> HYPERLINK "http://www.consultant.ru/cabinet/stat/fd/2022-12-29/click/consultant/?dst=http%3A%2F%2Fwww.consultant.ru%2Fdocument%2Fcons_doc_LAW_435721%2F&amp;utm_campaign=fd&amp;utm_source=consultant&amp;utm_medium=email&amp;utm_content=body" \t "_blank" </w:instrText>
      </w:r>
      <w:r>
        <w:fldChar w:fldCharType="separate"/>
      </w:r>
      <w:r>
        <w:rPr>
          <w:rStyle w:val="6"/>
          <w:b/>
          <w:bCs/>
          <w:color w:val="auto"/>
          <w:u w:val="none"/>
        </w:rPr>
        <w:t>Федеральным законом от 28.12.2022 N 570-ФЗ "О внесении изменений в статью 31 Федерального закона "Об основах социального обслуживания граждан в Российской Федерации"</w:t>
      </w:r>
      <w:r>
        <w:rPr>
          <w:rStyle w:val="6"/>
          <w:b/>
          <w:bCs/>
          <w:color w:val="auto"/>
          <w:u w:val="none"/>
        </w:rPr>
        <w:fldChar w:fldCharType="end"/>
      </w:r>
      <w:r>
        <w:rPr>
          <w:rStyle w:val="7"/>
        </w:rPr>
        <w:t xml:space="preserve"> </w:t>
      </w:r>
      <w:r>
        <w:t>с</w:t>
      </w:r>
      <w:r>
        <w:rPr>
          <w:b/>
          <w:bCs/>
        </w:rPr>
        <w:t xml:space="preserve"> 1 января 2023 года расширяется перечень категорий граждан, имеющих право на бесплатное предоставление социальных услуг в форме социального обслуживания на дому, в полустационарной и стационарной формах. </w:t>
      </w:r>
    </w:p>
    <w:p>
      <w:pPr>
        <w:pStyle w:val="8"/>
        <w:spacing w:before="0" w:beforeAutospacing="0" w:after="0" w:afterAutospacing="0"/>
        <w:ind w:firstLine="709"/>
        <w:jc w:val="both"/>
      </w:pPr>
      <w:r>
        <w:t>В указанный перечень включены участники и инвалиды Великой Отечественной войны, инвалиды боевых действий, лица, награжденные знаком "Жителю блокадного Ленинграда" и "Житель осажденного Севастополя", а также лица, работавшие в период Великой Отечественной войны на объектах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pPr>
        <w:pStyle w:val="8"/>
        <w:spacing w:before="0" w:beforeAutospacing="0" w:after="0" w:afterAutospacing="0"/>
        <w:ind w:firstLine="709"/>
        <w:jc w:val="both"/>
        <w:rPr>
          <w:rStyle w:val="7"/>
        </w:rPr>
      </w:pPr>
    </w:p>
    <w:p>
      <w:pPr>
        <w:pStyle w:val="8"/>
        <w:spacing w:before="0" w:beforeAutospacing="0" w:after="0" w:afterAutospacing="0"/>
        <w:ind w:firstLine="709"/>
        <w:jc w:val="both"/>
        <w:rPr>
          <w:b/>
          <w:bCs/>
        </w:rPr>
      </w:pPr>
      <w:r>
        <w:fldChar w:fldCharType="begin"/>
      </w:r>
      <w:r>
        <w:instrText xml:space="preserve"> HYPERLINK "http://www.consultant.ru/cabinet/stat/fd/2022-12-28/click/consultant/?dst=http%3A%2F%2Fwww.consultant.ru%2Fdocument%2Fcons_doc_LAW_435479%2F&amp;utm_campaign=fd&amp;utm_source=consultant&amp;utm_medium=email&amp;utm_content=body" \t "_blank" </w:instrText>
      </w:r>
      <w:r>
        <w:fldChar w:fldCharType="separate"/>
      </w:r>
      <w:r>
        <w:rPr>
          <w:rStyle w:val="6"/>
          <w:b/>
          <w:bCs/>
          <w:color w:val="auto"/>
          <w:u w:val="none"/>
        </w:rPr>
        <w:t>Указом Президента РФ от 26.12.2022 N 951  "О некоторых вопросах приобретения гражданства Российской Федерации"</w:t>
      </w:r>
      <w:r>
        <w:rPr>
          <w:rStyle w:val="6"/>
          <w:b/>
          <w:bCs/>
          <w:color w:val="auto"/>
          <w:u w:val="none"/>
        </w:rPr>
        <w:fldChar w:fldCharType="end"/>
      </w:r>
      <w:r>
        <w:rPr>
          <w:rStyle w:val="7"/>
        </w:rPr>
        <w:t xml:space="preserve"> </w:t>
      </w:r>
      <w:r>
        <w:rPr>
          <w:b/>
          <w:bCs/>
        </w:rPr>
        <w:t>установлен порядок подачи жителями новых субъектов РФ заявления на получение российского паспорта</w:t>
      </w:r>
    </w:p>
    <w:p>
      <w:pPr>
        <w:pStyle w:val="8"/>
        <w:spacing w:before="0" w:beforeAutospacing="0" w:after="0" w:afterAutospacing="0"/>
        <w:ind w:firstLine="709"/>
        <w:jc w:val="both"/>
      </w:pPr>
      <w:r>
        <w:t>Так, соответствующее заявление подается в МВД России или его территориальный орган по месту жительства, месту пребывания либо месту фактического проживания заявителя или недееспособного лица, получающего российский паспорт. Вместе с заявлением необходимо предоставить документ, удостоверяющий гражданство и личность гражданина ДНР, ЛНР или Украины, и документ, подтверждающий факт регистрации по месту жительства на территории ДНР, ЛНР, Запорожской области или Херсонской области в любой период до 30 сентября 2022 года.</w:t>
      </w:r>
    </w:p>
    <w:p>
      <w:pPr>
        <w:pStyle w:val="8"/>
        <w:spacing w:before="0" w:beforeAutospacing="0" w:after="0" w:afterAutospacing="0"/>
        <w:ind w:firstLine="709"/>
        <w:jc w:val="both"/>
      </w:pPr>
      <w:r>
        <w:t>Также указом определен порядок подачи заявления о признании ребенка, не достигшего возраста 14 лет, гражданином Российской Федерации.</w:t>
      </w:r>
    </w:p>
    <w:p>
      <w:pPr>
        <w:pStyle w:val="8"/>
        <w:spacing w:before="0" w:beforeAutospacing="0" w:after="0" w:afterAutospacing="0"/>
        <w:ind w:firstLine="709"/>
        <w:jc w:val="both"/>
      </w:pPr>
      <w:r>
        <w:t>Кроме этого, утвержден порядок подачи и учета заявлений о нежелании состоять в гражданстве Украины, который распространяется на жителей ДНР, ЛНР, Херсонской и Запорожской областей. Такое заявление может быть подано в день получения паспорта гражданина РФ или в день проставления в свидетельстве о рождении ребенка отметки, удостоверяющей приобретение им российского гражданства.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указ вступает в силу со дня его официального опубликования опубликован на Официальном интернет-портале правовой информации http://pravo.gov.ru - 26.12.2022).</w:t>
      </w:r>
    </w:p>
    <w:p>
      <w:pPr>
        <w:pStyle w:val="8"/>
        <w:spacing w:before="0" w:beforeAutospacing="0" w:after="0" w:afterAutospacing="0"/>
        <w:jc w:val="both"/>
      </w:pPr>
    </w:p>
    <w:p>
      <w:pPr>
        <w:pStyle w:val="8"/>
        <w:spacing w:before="0" w:beforeAutospacing="0" w:after="0" w:afterAutospacing="0"/>
        <w:ind w:firstLine="600" w:firstLineChars="250"/>
        <w:jc w:val="both"/>
        <w:rPr>
          <w:rFonts w:hint="default"/>
          <w:lang w:val="ru-RU"/>
        </w:rPr>
      </w:pPr>
      <w:r>
        <w:fldChar w:fldCharType="begin"/>
      </w:r>
      <w:r>
        <w:instrText xml:space="preserve"> HYPERLINK "http://www.consultant.ru/cabinet/stat/fd/2022-12-28/click/consultant/?dst=http%3A%2F%2Fwww.consultant.ru%2Fdocument%2Fcons_doc_LAW_435527%2F&amp;utm_campaign=fd&amp;utm_source=consultant&amp;utm_medium=email&amp;utm_content=body" \t "_blank" </w:instrText>
      </w:r>
      <w:r>
        <w:fldChar w:fldCharType="separate"/>
      </w:r>
      <w:r>
        <w:rPr>
          <w:rStyle w:val="6"/>
          <w:b/>
          <w:bCs/>
          <w:color w:val="auto"/>
          <w:u w:val="none"/>
        </w:rPr>
        <w:t>Приказом Минтруда России от 16.12.2022 N 786 "О внесении изменений в Приказ Министерства труда и социальной защиты Российской Федерации от 26 января 2022 г. N 24 "О проведении оперативного мониторинга в целях обеспечения занятости населения"</w:t>
      </w:r>
      <w:r>
        <w:rPr>
          <w:rStyle w:val="6"/>
          <w:b/>
          <w:bCs/>
          <w:color w:val="auto"/>
          <w:u w:val="none"/>
        </w:rPr>
        <w:fldChar w:fldCharType="end"/>
      </w:r>
      <w:r>
        <w:rPr>
          <w:rStyle w:val="7"/>
        </w:rPr>
        <w:t xml:space="preserve"> </w:t>
      </w:r>
      <w:r>
        <w:rPr>
          <w:b/>
          <w:bCs/>
        </w:rPr>
        <w:t>с 1 января 2023 г. устанавливаются новые формы представления работодателями сведений и информации органам службы занятости</w:t>
      </w:r>
      <w:r>
        <w:rPr>
          <w:rFonts w:hint="default"/>
          <w:b/>
          <w:bCs/>
          <w:lang w:val="ru-RU"/>
        </w:rPr>
        <w:t>.</w:t>
      </w:r>
    </w:p>
    <w:p>
      <w:pPr>
        <w:pStyle w:val="8"/>
        <w:spacing w:before="0" w:beforeAutospacing="0" w:after="0" w:afterAutospacing="0"/>
        <w:ind w:firstLine="480" w:firstLineChars="200"/>
        <w:jc w:val="both"/>
      </w:pPr>
      <w:r>
        <w:t>Кроме того, утверждены рекомендации по заполнению форм.</w:t>
      </w:r>
    </w:p>
    <w:p>
      <w:pPr>
        <w:pStyle w:val="8"/>
        <w:spacing w:before="0" w:beforeAutospacing="0" w:after="0" w:afterAutospacing="0"/>
        <w:ind w:firstLine="480" w:firstLineChars="200"/>
        <w:jc w:val="both"/>
      </w:pPr>
      <w:r>
        <w:t>Работодателям рекомендовано в том числе при изменении сведений, размещенных на платформе "Работа в России", с целью их актуализации представлять соответствующую информацию в течение 1 рабочего дня с момента принятия решения, повлекшего изменение сведений.</w:t>
      </w:r>
    </w:p>
    <w:p>
      <w:pPr>
        <w:pStyle w:val="8"/>
        <w:spacing w:before="0" w:beforeAutospacing="0" w:after="0" w:afterAutospacing="0"/>
        <w:jc w:val="both"/>
      </w:pPr>
      <w:r>
        <w:t xml:space="preserve"> </w:t>
      </w:r>
    </w:p>
    <w:p>
      <w:pPr>
        <w:pStyle w:val="8"/>
        <w:spacing w:before="0" w:beforeAutospacing="0" w:after="0" w:afterAutospacing="0"/>
        <w:ind w:firstLine="480" w:firstLineChars="200"/>
        <w:jc w:val="both"/>
      </w:pPr>
      <w:r>
        <w:fldChar w:fldCharType="begin"/>
      </w:r>
      <w:r>
        <w:instrText xml:space="preserve"> HYPERLINK "http://www.consultant.ru/cabinet/stat/fd/2022-12-26/click/consultant/?dst=http%3A%2F%2Fwww.consultant.ru%2Fdocument%2Fcons_doc_LAW_435192%2F&amp;utm_campaign=fd&amp;utm_source=consultant&amp;utm_medium=email&amp;utm_content=body" \t "_blank" </w:instrText>
      </w:r>
      <w:r>
        <w:fldChar w:fldCharType="separate"/>
      </w:r>
      <w:r>
        <w:rPr>
          <w:rStyle w:val="6"/>
          <w:b/>
          <w:bCs/>
          <w:color w:val="auto"/>
          <w:u w:val="none"/>
        </w:rPr>
        <w:t>Приказом Минпросвещения России от 16.11.2022 N 993 "Об утверждении федеральной образовательной программы основного общего образования", зарегистрированным  в Минюсте России 22.12.2022 N 71764,</w:t>
      </w:r>
      <w:r>
        <w:rPr>
          <w:rStyle w:val="6"/>
          <w:b/>
          <w:bCs/>
          <w:color w:val="auto"/>
          <w:u w:val="none"/>
        </w:rPr>
        <w:fldChar w:fldCharType="end"/>
      </w:r>
      <w:r>
        <w:t xml:space="preserve"> утверждена федеральная образовательная программа основного общего образования.</w:t>
      </w:r>
    </w:p>
    <w:p>
      <w:pPr>
        <w:pStyle w:val="8"/>
        <w:spacing w:before="0" w:beforeAutospacing="0" w:after="0" w:afterAutospacing="0"/>
        <w:ind w:firstLine="480" w:firstLineChars="200"/>
        <w:jc w:val="both"/>
      </w:pPr>
      <w:r>
        <w:t>Программа включает три раздела - целевой, содержательный и организационный.</w:t>
      </w:r>
    </w:p>
    <w:p>
      <w:pPr>
        <w:pStyle w:val="8"/>
        <w:spacing w:before="0" w:beforeAutospacing="0" w:after="0" w:afterAutospacing="0"/>
        <w:ind w:firstLine="480" w:firstLineChars="200"/>
        <w:jc w:val="both"/>
      </w:pPr>
      <w:r>
        <w:t>Целевой раздел определяет общее назначение, цели, задачи и планируемые результаты реализации программы, а также способы определения достижения этих целей и результатов. Содержательный раздел включает федеральные рабочие программы учебных предметов, программу формирования универсальных учебных действий у обучающихся и федеральную рабочую программу воспитания.</w:t>
      </w:r>
    </w:p>
    <w:p>
      <w:pPr>
        <w:pStyle w:val="8"/>
        <w:spacing w:before="0" w:beforeAutospacing="0" w:after="0" w:afterAutospacing="0"/>
        <w:ind w:firstLine="480" w:firstLineChars="200"/>
        <w:jc w:val="both"/>
      </w:pPr>
      <w:r>
        <w:t>Организационный раздел включает федеральный учебный план, федеральный план внеурочной деятельности, календарный учебный график и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w:t>
      </w:r>
    </w:p>
    <w:p>
      <w:pPr>
        <w:pStyle w:val="8"/>
        <w:spacing w:before="0" w:beforeAutospacing="0" w:after="0" w:afterAutospacing="0"/>
        <w:ind w:firstLine="480" w:firstLineChars="200"/>
        <w:jc w:val="both"/>
      </w:pPr>
      <w:r>
        <w:t>При разработке основной образовательной программы основного общего образования образовательная организация предусматривает непосредственное применение федеральных рабочих программ по русскому языку, литературе, истории, обществознанию, географии и основам безопасности жизнедеятельности.</w:t>
      </w:r>
    </w:p>
    <w:p>
      <w:pPr>
        <w:pStyle w:val="8"/>
        <w:spacing w:before="0" w:beforeAutospacing="0" w:after="0" w:afterAutospacing="0"/>
        <w:ind w:firstLine="709"/>
        <w:jc w:val="both"/>
      </w:pPr>
    </w:p>
    <w:p>
      <w:pPr>
        <w:pStyle w:val="8"/>
        <w:spacing w:before="0" w:beforeAutospacing="0" w:after="0" w:afterAutospacing="0"/>
        <w:ind w:firstLine="709"/>
        <w:jc w:val="both"/>
      </w:pPr>
    </w:p>
    <w:p>
      <w:pPr>
        <w:pStyle w:val="8"/>
        <w:spacing w:before="0" w:beforeAutospacing="0" w:after="0" w:afterAutospacing="0"/>
        <w:ind w:firstLine="709"/>
        <w:jc w:val="both"/>
      </w:pPr>
      <w:r>
        <w:fldChar w:fldCharType="begin"/>
      </w:r>
      <w:r>
        <w:instrText xml:space="preserve"> HYPERLINK "http://www.consultant.ru/cabinet/stat/fd/2022-12-27/click/consultant/?dst=http%3A%2F%2Fwww.consultant.ru%2Fdocument%2Fcons_doc_LAW_435404%2F&amp;utm_campaign=fd&amp;utm_source=consultant&amp;utm_medium=email&amp;utm_content=body" \t "_blank" </w:instrText>
      </w:r>
      <w:r>
        <w:fldChar w:fldCharType="separate"/>
      </w:r>
      <w:r>
        <w:rPr>
          <w:rStyle w:val="6"/>
          <w:b/>
          <w:bCs/>
          <w:color w:val="auto"/>
          <w:u w:val="none"/>
        </w:rPr>
        <w:t>Письмом ФГБУ ФБ МСЭ Минтруда России от 16.12.2022 N 50289.ФБ.77/2022</w:t>
      </w:r>
      <w:r>
        <w:rPr>
          <w:b/>
          <w:bCs/>
        </w:rPr>
        <w:br w:type="textWrapping"/>
      </w:r>
      <w:r>
        <w:rPr>
          <w:rStyle w:val="6"/>
          <w:b/>
          <w:bCs/>
          <w:color w:val="auto"/>
          <w:u w:val="none"/>
        </w:rPr>
        <w:t>«О применении положений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 Постановлением Правительства РФ от 16.10.2000 N 789, и особенностях проведения медико-социальной экспертизы при повторных несчастных случаях»</w:t>
      </w:r>
      <w:r>
        <w:rPr>
          <w:rStyle w:val="6"/>
          <w:b/>
          <w:bCs/>
          <w:color w:val="auto"/>
          <w:u w:val="none"/>
        </w:rPr>
        <w:fldChar w:fldCharType="end"/>
      </w:r>
      <w:r>
        <w:t xml:space="preserve"> разъяснены особенности проведения медико-социальной экспертизы при повторных несчастных случаях на производстве и/или профессиональных заболеваниях. </w:t>
      </w:r>
    </w:p>
    <w:p>
      <w:pPr>
        <w:pStyle w:val="8"/>
        <w:spacing w:before="0" w:beforeAutospacing="0" w:after="0" w:afterAutospacing="0"/>
        <w:ind w:firstLine="709"/>
        <w:jc w:val="both"/>
      </w:pPr>
      <w:r>
        <w:t xml:space="preserve">Сообщается, в частности, что при проведении медико-социальной экспертизы оцениваются все обстоятельства, способные повлиять как на экспертное решение в части определения степени утраты профессиональной трудоспособности, так и на оптимальные виды, формы и объемы необходимых реабилитационных мероприятий, которые будут включены в программы реабилитации пострадавших. Так, например, при повторных несчастных случаях на производстве и/или профессиональных заболеваниях по результатам проведения медико-социальной экспертизы может быть выдана как одна справка о результатах установления степени утраты профессиональной трудоспособности в процентах, так и несколько - по количеству несчастных случаев на производстве и/или профессиональных заболеваний. </w:t>
      </w:r>
    </w:p>
    <w:p>
      <w:pPr>
        <w:pStyle w:val="8"/>
        <w:spacing w:before="0" w:beforeAutospacing="0" w:after="0" w:afterAutospacing="0"/>
        <w:ind w:firstLine="709"/>
        <w:jc w:val="both"/>
      </w:pPr>
      <w:r>
        <w:t xml:space="preserve">Основу конкретного экспертного решения по определению степени утраты профессиональной трудоспособности будут составлять степень выраженности стойких нарушений функций организма человека, оценка способности к профессиональной деятельности того же содержания и в том же объеме либо с учетом снижения квалификации, снижения объема (тяжести) выполняемой работы и/или необходимости создания дополнительных условий доступности для выполнения профессиональной деятельности путем изменения условий труда и/или оснащения (оборудования) специального рабочего места по каждому из несчастных случаев на производстве и/или профессиональных заболеваний. </w:t>
      </w:r>
    </w:p>
    <w:p>
      <w:pPr>
        <w:pStyle w:val="8"/>
        <w:spacing w:before="0" w:beforeAutospacing="0" w:after="0" w:afterAutospacing="0"/>
        <w:ind w:firstLine="709"/>
        <w:jc w:val="both"/>
      </w:pPr>
      <w:r>
        <w:t>Вместе с тем при наличии оснований для определения утраты профессиональной трудоспособности и необходимости проведения реабилитационных мероприятий по последствиям повторных несчастных случаев на производстве и/или профессиональных заболеваний они должны быть включены в одну программу реабилитации пострадавшего.</w:t>
      </w:r>
    </w:p>
    <w:p>
      <w:pPr>
        <w:pStyle w:val="8"/>
        <w:spacing w:before="0" w:beforeAutospacing="0" w:after="0" w:afterAutospacing="0"/>
        <w:jc w:val="both"/>
      </w:pPr>
      <w:bookmarkStart w:id="0" w:name="mailruanchor_fd_sect_17"/>
      <w:bookmarkEnd w:id="0"/>
    </w:p>
    <w:p>
      <w:pPr>
        <w:pStyle w:val="8"/>
        <w:spacing w:before="0" w:beforeAutospacing="0" w:after="0" w:afterAutospacing="0"/>
        <w:ind w:firstLine="709"/>
        <w:jc w:val="both"/>
      </w:pPr>
      <w:r>
        <w:fldChar w:fldCharType="begin"/>
      </w:r>
      <w:r>
        <w:instrText xml:space="preserve"> HYPERLINK "http://www.consultant.ru/cabinet/stat/fd/2022-12-29/click/consultant/?dst=http%3A%2F%2Fwww.consultant.ru%2Flaw%2Freview%2Flink%2F%3Fid%3D208520395&amp;utm_campaign=fd&amp;utm_source=consultant&amp;utm_medium=email&amp;utm_content=body" \t "_blank" </w:instrText>
      </w:r>
      <w:r>
        <w:fldChar w:fldCharType="separate"/>
      </w:r>
      <w:r>
        <w:rPr>
          <w:rStyle w:val="6"/>
          <w:b/>
          <w:bCs/>
          <w:color w:val="auto"/>
          <w:u w:val="none"/>
        </w:rPr>
        <w:t xml:space="preserve">  Информация Минцифры России от 28.12.2022 "На Госуслугах можно заполнить заявление на единое пособие на детей и беременным женщинам"</w:t>
      </w:r>
      <w:r>
        <w:rPr>
          <w:rStyle w:val="6"/>
          <w:b/>
          <w:bCs/>
          <w:color w:val="auto"/>
          <w:u w:val="none"/>
        </w:rPr>
        <w:fldChar w:fldCharType="end"/>
      </w:r>
    </w:p>
    <w:p>
      <w:pPr>
        <w:pStyle w:val="10"/>
        <w:spacing w:before="0" w:beforeAutospacing="0" w:after="0" w:afterAutospacing="0"/>
        <w:ind w:firstLine="709"/>
        <w:jc w:val="both"/>
      </w:pPr>
      <w:r>
        <w:t xml:space="preserve">Заявления для получения выплат на детей для нуждающихся семей можно оформить на Госуслугах </w:t>
      </w:r>
    </w:p>
    <w:p>
      <w:pPr>
        <w:pStyle w:val="8"/>
        <w:spacing w:before="0" w:beforeAutospacing="0" w:after="0" w:afterAutospacing="0"/>
        <w:ind w:firstLine="709"/>
        <w:jc w:val="both"/>
      </w:pPr>
      <w:r>
        <w:t xml:space="preserve">Рассматривать заявления начнут с 9 января 2023 года, но отправлять их можно заранее. Для этого на Госуслугах размещена специальная форма. </w:t>
      </w:r>
    </w:p>
    <w:p>
      <w:pPr>
        <w:pStyle w:val="8"/>
        <w:spacing w:before="0" w:beforeAutospacing="0" w:after="0" w:afterAutospacing="0"/>
        <w:ind w:firstLine="709"/>
        <w:jc w:val="both"/>
      </w:pPr>
      <w:r>
        <w:t xml:space="preserve">В информации приведен порядок действий, чтобы заполнить заявление на единое пособие. </w:t>
      </w:r>
    </w:p>
    <w:p>
      <w:pPr>
        <w:pStyle w:val="8"/>
        <w:spacing w:before="0" w:beforeAutospacing="0" w:after="0" w:afterAutospacing="0"/>
        <w:ind w:firstLine="709"/>
        <w:jc w:val="both"/>
      </w:pPr>
      <w:r>
        <w:t>Его размер зависит от нуждаемости семьи и может составлять 50%, 75% или 100% прожиточного минимума в регионе.</w:t>
      </w:r>
    </w:p>
    <w:p>
      <w:pPr>
        <w:pStyle w:val="8"/>
        <w:shd w:val="clear" w:color="auto" w:fill="FFFFFF"/>
        <w:spacing w:before="0" w:beforeAutospacing="0" w:after="0" w:afterAutospacing="0"/>
        <w:ind w:firstLine="709"/>
        <w:jc w:val="both"/>
        <w:textAlignment w:val="baseline"/>
      </w:pPr>
      <w:r>
        <w:t xml:space="preserve"> </w:t>
      </w:r>
    </w:p>
    <w:p>
      <w:pPr>
        <w:pStyle w:val="8"/>
        <w:shd w:val="clear" w:color="auto" w:fill="FFFFFF"/>
        <w:spacing w:before="0" w:beforeAutospacing="0" w:after="0" w:afterAutospacing="0"/>
        <w:ind w:firstLine="709"/>
        <w:jc w:val="both"/>
        <w:textAlignment w:val="baseline"/>
        <w:rPr>
          <w:b/>
        </w:rPr>
      </w:pPr>
      <w:r>
        <w:fldChar w:fldCharType="begin"/>
      </w:r>
      <w:r>
        <w:instrText xml:space="preserve"> HYPERLINK "https://login.consultant.ru/link/?req=opennews&amp;id=21262" \t "_blank" </w:instrText>
      </w:r>
      <w:r>
        <w:fldChar w:fldCharType="separate"/>
      </w:r>
      <w:r>
        <w:rPr>
          <w:rStyle w:val="6"/>
          <w:b/>
          <w:color w:val="auto"/>
          <w:u w:val="none"/>
          <w:shd w:val="clear" w:color="auto" w:fill="FFFFFF"/>
        </w:rPr>
        <w:t>Разъяснили, что обучение требованиям охраны труда не может быть полностью дистанционным</w:t>
      </w:r>
      <w:r>
        <w:rPr>
          <w:rStyle w:val="6"/>
          <w:b/>
          <w:color w:val="auto"/>
          <w:u w:val="none"/>
          <w:shd w:val="clear" w:color="auto" w:fill="FFFFFF"/>
        </w:rPr>
        <w:fldChar w:fldCharType="end"/>
      </w:r>
    </w:p>
    <w:p>
      <w:pPr>
        <w:pStyle w:val="8"/>
        <w:shd w:val="clear" w:color="auto" w:fill="FFFFFF"/>
        <w:spacing w:before="0" w:beforeAutospacing="0" w:after="0" w:afterAutospacing="0"/>
        <w:ind w:firstLine="709"/>
        <w:jc w:val="both"/>
        <w:textAlignment w:val="baseline"/>
        <w:rPr>
          <w:color w:val="0E0E0E"/>
        </w:rPr>
      </w:pPr>
      <w:r>
        <w:rPr>
          <w:color w:val="0E0E0E"/>
        </w:rPr>
        <w:t>Обучить требованиям охраны труда исключительно в удаленном формате нельзя. Применить дистанционные технологии можно только в теоретической части программы. Вместе с тем есть и практические занятия по формированию умений и навыков безопасного выполнения работ, пояснил Минтруд России в  Письме  от 15.12.2022 N 15-2/ООГ-321</w:t>
      </w:r>
    </w:p>
    <w:p>
      <w:pPr>
        <w:pStyle w:val="3"/>
        <w:spacing w:before="0" w:beforeAutospacing="0" w:after="0" w:afterAutospacing="0"/>
        <w:ind w:firstLine="709"/>
        <w:jc w:val="both"/>
      </w:pPr>
    </w:p>
    <w:p>
      <w:pPr>
        <w:pStyle w:val="8"/>
        <w:spacing w:before="0" w:beforeAutospacing="0" w:after="0" w:afterAutospacing="0"/>
        <w:ind w:firstLine="709"/>
        <w:jc w:val="both"/>
      </w:pPr>
      <w:r>
        <w:fldChar w:fldCharType="begin"/>
      </w:r>
      <w:r>
        <w:instrText xml:space="preserve"> HYPERLINK "http://www.consultant.ru/cabinet/stat/fd/2022-12-26/click/consultant/?dst=http%3A%2F%2Fwww.consultant.ru%2Fdocument%2Fcons_doc_LAW_435203%2F&amp;utm_campaign=fd&amp;utm_source=consultant&amp;utm_medium=email&amp;utm_content=body" \t "_blank" </w:instrText>
      </w:r>
      <w:r>
        <w:fldChar w:fldCharType="separate"/>
      </w:r>
      <w:r>
        <w:rPr>
          <w:rStyle w:val="6"/>
          <w:b/>
          <w:bCs/>
          <w:color w:val="auto"/>
          <w:u w:val="none"/>
        </w:rPr>
        <w:t>Постановление Пленума Верховного Суда РФ от 22.12.2022 N 39</w:t>
      </w:r>
      <w:r>
        <w:rPr>
          <w:b/>
          <w:bCs/>
        </w:rPr>
        <w:br w:type="textWrapping"/>
      </w:r>
      <w:r>
        <w:rPr>
          <w:rStyle w:val="6"/>
          <w:b/>
          <w:bCs/>
          <w:color w:val="auto"/>
          <w:u w:val="none"/>
        </w:rPr>
        <w:t>"О судебной практике по уголовным делам о неуплате средств на содержание детей или нетрудоспособных родителей (статья 157 Уголовного кодекса Российской Федерации)"</w:t>
      </w:r>
      <w:r>
        <w:rPr>
          <w:rStyle w:val="6"/>
          <w:b/>
          <w:bCs/>
          <w:color w:val="auto"/>
          <w:u w:val="none"/>
        </w:rPr>
        <w:fldChar w:fldCharType="end"/>
      </w:r>
    </w:p>
    <w:p>
      <w:pPr>
        <w:pStyle w:val="10"/>
        <w:spacing w:before="0" w:beforeAutospacing="0" w:after="0" w:afterAutospacing="0"/>
        <w:ind w:firstLine="709"/>
        <w:jc w:val="both"/>
      </w:pPr>
      <w:r>
        <w:t>Задолженность по алиментам может быть погашена другими лицами.</w:t>
      </w:r>
    </w:p>
    <w:p>
      <w:pPr>
        <w:pStyle w:val="8"/>
        <w:spacing w:before="0" w:beforeAutospacing="0" w:after="0" w:afterAutospacing="0"/>
        <w:ind w:firstLine="709"/>
        <w:jc w:val="both"/>
      </w:pPr>
      <w:r>
        <w:t>Погашение задолженности может быть произведено не только лицом, совершившим преступление, но и по его просьбе (с его согласия) другими лицами. Обещания, а также различного рода обязательства лица, совершившего преступление, погасить задолженность в будущем не являются обстоятельствами, дающими основание для освобождения этого лица от уголовной ответственности.</w:t>
      </w:r>
    </w:p>
    <w:p>
      <w:pPr>
        <w:pStyle w:val="8"/>
        <w:spacing w:before="0" w:beforeAutospacing="0" w:after="0" w:afterAutospacing="0"/>
        <w:ind w:firstLine="709"/>
        <w:jc w:val="both"/>
      </w:pPr>
      <w:r>
        <w:t>Покупка продуктов, дарение вещей, оплата расходов, если такие действия не носили постоянного характера и не свидетельствовали о нахождении ребенка или нетрудоспособных родителей на иждивении у лица, обязанного уплачивать алименты, не освобождают его от обязанности уплачивать алименты в полном объеме.</w:t>
      </w:r>
    </w:p>
    <w:p>
      <w:pPr>
        <w:pStyle w:val="8"/>
        <w:spacing w:before="0" w:beforeAutospacing="0" w:after="0" w:afterAutospacing="0"/>
        <w:ind w:firstLine="709"/>
        <w:jc w:val="both"/>
      </w:pPr>
      <w:r>
        <w:t>Уголовная ответственность по статье 157 УК РФ наступает только в тех случаях, когда лицо имело реальную возможность выплачивать алименты, но умышленно уклонялось от исполнения возложенной на него обязанности, в том числе производило платежи в размере менее установленного судебным актом или нотариально удостоверенным соглашением, например нерегулярные или незначительные платежи. Если же невыполнение им алиментных обязательств было связано с наличием причин, которые признаны судом уважительными, то данные деяния не образуют состава преступления, предусмотренного статьей 157 УК РФ.</w:t>
      </w:r>
    </w:p>
    <w:p>
      <w:pPr>
        <w:pStyle w:val="8"/>
        <w:spacing w:before="0" w:beforeAutospacing="0" w:after="0" w:afterAutospacing="0"/>
        <w:ind w:firstLine="709"/>
        <w:jc w:val="both"/>
      </w:pPr>
      <w:r>
        <w:t>Судам рекомендовано при рассмотрении уголовных дел о преступлениях, предусмотренных частями 1 и 2 статьи 157 УК РФ, учитывать разъяснения, содержащиеся в Постановлении Пленума Верховного Суда РФ от 27 апреля 2021 года N 6 "О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w:t>
      </w:r>
    </w:p>
    <w:p>
      <w:pPr>
        <w:pStyle w:val="3"/>
        <w:spacing w:before="0" w:beforeAutospacing="0" w:after="0" w:afterAutospacing="0"/>
        <w:jc w:val="both"/>
      </w:pPr>
      <w:bookmarkStart w:id="1" w:name="mailruanchor_fd_sect_19"/>
      <w:bookmarkEnd w:id="1"/>
      <w:bookmarkStart w:id="2" w:name="mailruanchor_fd_sect_20"/>
      <w:bookmarkEnd w:id="2"/>
    </w:p>
    <w:p>
      <w:pPr>
        <w:pStyle w:val="8"/>
        <w:spacing w:before="0" w:beforeAutospacing="0" w:after="0" w:afterAutospacing="0"/>
        <w:ind w:firstLine="709"/>
        <w:jc w:val="both"/>
      </w:pPr>
      <w:r>
        <w:fldChar w:fldCharType="begin"/>
      </w:r>
      <w:r>
        <w:instrText xml:space="preserve"> HYPERLINK "http://www.consultant.ru/cabinet/stat/fd/2022-12-28/click/consultant/?dst=http%3A%2F%2Fwww.consultant.ru%2Flaw%2Freview%2Flink%2F%3Fid%3D208520165&amp;utm_campaign=fd&amp;utm_source=consultant&amp;utm_medium=email&amp;utm_content=body" \t "_blank" </w:instrText>
      </w:r>
      <w:r>
        <w:fldChar w:fldCharType="separate"/>
      </w:r>
      <w:r>
        <w:rPr>
          <w:rStyle w:val="6"/>
          <w:b/>
          <w:bCs/>
          <w:color w:val="auto"/>
          <w:u w:val="none"/>
        </w:rPr>
        <w:t>"Обзор судебной практики Верховного Суда Российской Федерации N 3 (2022)" (утв. Президиумом Верховного Суда РФ 21.12.2022)</w:t>
      </w:r>
      <w:r>
        <w:rPr>
          <w:rStyle w:val="6"/>
          <w:b/>
          <w:bCs/>
          <w:color w:val="auto"/>
          <w:u w:val="none"/>
        </w:rPr>
        <w:fldChar w:fldCharType="end"/>
      </w:r>
    </w:p>
    <w:p>
      <w:pPr>
        <w:pStyle w:val="10"/>
        <w:spacing w:before="0" w:beforeAutospacing="0" w:after="0" w:afterAutospacing="0"/>
        <w:ind w:firstLine="709"/>
        <w:jc w:val="both"/>
      </w:pPr>
      <w:r>
        <w:t>Президиумом Верховного Суда РФ представлен обзор судебной практики N 3 в 2022 году</w:t>
      </w:r>
    </w:p>
    <w:p>
      <w:pPr>
        <w:pStyle w:val="8"/>
        <w:spacing w:before="0" w:beforeAutospacing="0" w:after="0" w:afterAutospacing="0"/>
        <w:ind w:firstLine="709"/>
        <w:jc w:val="both"/>
      </w:pPr>
      <w:r>
        <w:t>В обзоре содержатся правовые позиции по разрешению споров, связанных с защитой права собственности и других вещных прав, с социальными и пенсионными отношениями, споров, возникающих из договоров обязательного страхования гражданской ответственности, споров с сетевыми и газораспределительными организациями.</w:t>
      </w:r>
    </w:p>
    <w:p>
      <w:pPr>
        <w:pStyle w:val="8"/>
        <w:spacing w:before="0" w:beforeAutospacing="0" w:after="0" w:afterAutospacing="0"/>
        <w:ind w:firstLine="709"/>
        <w:jc w:val="both"/>
      </w:pPr>
      <w:r>
        <w:t>Рассмотрены в том числе практики применения гражданского законодательства, законодательства о несостоятельности (банкротстве), земельного и природоохранного законодательства, законодательства о защите конкуренции, а также приведена практика реализации судами положений Международного пакта об экономических, социальных и культурных правах от 16 декабря 1966 года.</w:t>
      </w:r>
    </w:p>
    <w:p>
      <w:pPr>
        <w:pStyle w:val="8"/>
        <w:spacing w:before="0" w:beforeAutospacing="0" w:after="0" w:afterAutospacing="0"/>
        <w:ind w:firstLine="709"/>
        <w:jc w:val="both"/>
      </w:pPr>
      <w:r>
        <w:t>В частности, закреплены следующие выводы:</w:t>
      </w:r>
    </w:p>
    <w:p>
      <w:pPr>
        <w:pStyle w:val="8"/>
        <w:spacing w:before="0" w:beforeAutospacing="0" w:after="0" w:afterAutospacing="0"/>
        <w:ind w:firstLine="709"/>
        <w:jc w:val="both"/>
      </w:pPr>
      <w:r>
        <w:t>- если требование о расторжении договора займа имеет то же основание, что и требование о возврате суммы займа, порядок исчисления срока исковой давности совпадает;</w:t>
      </w:r>
    </w:p>
    <w:p>
      <w:pPr>
        <w:pStyle w:val="8"/>
        <w:spacing w:before="0" w:beforeAutospacing="0" w:after="0" w:afterAutospacing="0"/>
        <w:ind w:firstLine="709"/>
        <w:jc w:val="both"/>
      </w:pPr>
      <w:r>
        <w:t>- законом не предусмотрена возможность повторного предоставления отсрочки от призыва на военную службу на период очного обучения в образовательной организации по имеющей государственную аккредитацию образовательной программе;</w:t>
      </w:r>
    </w:p>
    <w:p>
      <w:pPr>
        <w:pStyle w:val="8"/>
        <w:spacing w:before="0" w:beforeAutospacing="0" w:after="0" w:afterAutospacing="0"/>
        <w:ind w:firstLine="709"/>
        <w:jc w:val="both"/>
      </w:pPr>
      <w:r>
        <w:t>- внепроцессуальное общение судьи с подсудимым по рассматриваемому им уголовному делу является основанием досрочного прекращения полномочий судьи.</w:t>
      </w:r>
    </w:p>
    <w:p>
      <w:pPr>
        <w:shd w:val="clear" w:color="auto" w:fill="FFFFFF"/>
        <w:spacing w:after="0" w:line="240" w:lineRule="auto"/>
        <w:jc w:val="both"/>
        <w:textAlignment w:val="baseline"/>
        <w:rPr>
          <w:rFonts w:ascii="Times New Roman" w:hAnsi="Times New Roman" w:cs="Times New Roman"/>
          <w:b/>
          <w:sz w:val="24"/>
          <w:szCs w:val="24"/>
        </w:rPr>
      </w:pPr>
    </w:p>
    <w:p>
      <w:pPr>
        <w:shd w:val="clear" w:color="auto" w:fill="FFFFFF"/>
        <w:spacing w:after="0" w:line="240" w:lineRule="auto"/>
        <w:ind w:firstLine="709"/>
        <w:jc w:val="both"/>
        <w:textAlignment w:val="baseline"/>
        <w:rPr>
          <w:rFonts w:ascii="Times New Roman" w:hAnsi="Times New Roman" w:eastAsia="Times New Roman" w:cs="Times New Roman"/>
          <w:b/>
          <w:sz w:val="24"/>
          <w:szCs w:val="24"/>
          <w:lang w:eastAsia="ru-RU"/>
        </w:rPr>
      </w:pPr>
      <w:r>
        <w:fldChar w:fldCharType="begin"/>
      </w:r>
      <w:r>
        <w:instrText xml:space="preserve"> HYPERLINK "https://login.consultant.ru/link/?req=opennews&amp;id=21229" \t "_blank" </w:instrText>
      </w:r>
      <w:r>
        <w:fldChar w:fldCharType="separate"/>
      </w:r>
      <w:r>
        <w:rPr>
          <w:rFonts w:ascii="Times New Roman" w:hAnsi="Times New Roman" w:eastAsia="Times New Roman" w:cs="Times New Roman"/>
          <w:b/>
          <w:sz w:val="24"/>
          <w:szCs w:val="24"/>
          <w:lang w:eastAsia="ru-RU"/>
        </w:rPr>
        <w:t>Совместитель не сообщил о больничном — суд поддержал увольнение из-за приема основного работника</w:t>
      </w:r>
      <w:r>
        <w:rPr>
          <w:rFonts w:ascii="Times New Roman" w:hAnsi="Times New Roman" w:eastAsia="Times New Roman" w:cs="Times New Roman"/>
          <w:b/>
          <w:sz w:val="24"/>
          <w:szCs w:val="24"/>
          <w:lang w:eastAsia="ru-RU"/>
        </w:rPr>
        <w:fldChar w:fldCharType="end"/>
      </w:r>
    </w:p>
    <w:p>
      <w:pPr>
        <w:shd w:val="clear" w:color="auto" w:fill="FFFFFF"/>
        <w:spacing w:after="0" w:line="240" w:lineRule="auto"/>
        <w:ind w:firstLine="709"/>
        <w:jc w:val="both"/>
        <w:textAlignment w:val="baseline"/>
        <w:rPr>
          <w:rFonts w:ascii="Times New Roman" w:hAnsi="Times New Roman" w:eastAsia="Times New Roman" w:cs="Times New Roman"/>
          <w:color w:val="0E0E0E"/>
          <w:sz w:val="24"/>
          <w:szCs w:val="24"/>
          <w:lang w:eastAsia="ru-RU"/>
        </w:rPr>
      </w:pPr>
      <w:r>
        <w:rPr>
          <w:rFonts w:ascii="Times New Roman" w:hAnsi="Times New Roman" w:eastAsia="Times New Roman" w:cs="Times New Roman"/>
          <w:color w:val="0E0E0E"/>
          <w:sz w:val="24"/>
          <w:szCs w:val="24"/>
          <w:lang w:eastAsia="ru-RU"/>
        </w:rPr>
        <w:t xml:space="preserve">Апелляция указала: совместитель знал, что его хотят заменить основным сотрудником. Он злоупотребил правом, так как не оповестил работодателя о нетрудоспособности. В этом случае увольнение во время больничного правомерно. Отметим, если совместитель сообщит о болезни, до его выздоровления расторгать трудовой договор не стоит. Например, тот же Санкт-Петербургский городской суд </w:t>
      </w:r>
      <w:r>
        <w:fldChar w:fldCharType="begin"/>
      </w:r>
      <w:r>
        <w:instrText xml:space="preserve"> HYPERLINK "https://ondb.consultant.ru/news/12245/" \t "_blank" </w:instrText>
      </w:r>
      <w:r>
        <w:fldChar w:fldCharType="separate"/>
      </w:r>
      <w:r>
        <w:rPr>
          <w:rFonts w:ascii="Times New Roman" w:hAnsi="Times New Roman" w:eastAsia="Times New Roman" w:cs="Times New Roman"/>
          <w:sz w:val="24"/>
          <w:szCs w:val="24"/>
          <w:lang w:eastAsia="ru-RU"/>
        </w:rPr>
        <w:t>признал незаконным</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color w:val="0E0E0E"/>
          <w:sz w:val="24"/>
          <w:szCs w:val="24"/>
          <w:lang w:eastAsia="ru-RU"/>
        </w:rPr>
        <w:t> намеренное увольнение в период больничного.</w:t>
      </w:r>
    </w:p>
    <w:p>
      <w:pPr>
        <w:shd w:val="clear" w:color="auto" w:fill="FFFFFF"/>
        <w:spacing w:after="0" w:line="240" w:lineRule="auto"/>
        <w:ind w:firstLine="709"/>
        <w:jc w:val="both"/>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Апелляционное определение Санкт-Петербургского городского суда от 23.06.2022 N 33-9102/2022</w:t>
      </w:r>
    </w:p>
    <w:p>
      <w:pPr>
        <w:spacing w:after="0"/>
        <w:ind w:firstLine="709"/>
        <w:jc w:val="both"/>
        <w:rPr>
          <w:rFonts w:ascii="Times New Roman" w:hAnsi="Times New Roman" w:eastAsia="Arial"/>
          <w:sz w:val="24"/>
          <w:szCs w:val="24"/>
          <w:shd w:val="clear" w:color="auto" w:fill="FFFFFF"/>
        </w:rPr>
      </w:pPr>
    </w:p>
    <w:p>
      <w:pPr>
        <w:spacing w:after="0" w:line="240" w:lineRule="auto"/>
        <w:ind w:firstLine="709"/>
        <w:jc w:val="both"/>
        <w:rPr>
          <w:rFonts w:hint="default"/>
          <w:lang w:val="ru-RU"/>
        </w:rPr>
      </w:pPr>
      <w:bookmarkStart w:id="3" w:name="_GoBack"/>
      <w:bookmarkEnd w:id="3"/>
    </w:p>
    <w:p>
      <w:pPr>
        <w:spacing w:after="0"/>
        <w:ind w:firstLine="709"/>
        <w:jc w:val="both"/>
        <w:rPr>
          <w:rFonts w:ascii="Times New Roman" w:hAnsi="Times New Roman" w:eastAsia="Arial"/>
          <w:sz w:val="24"/>
          <w:szCs w:val="24"/>
          <w:shd w:val="clear" w:color="auto" w:fill="FFFFFF"/>
        </w:rPr>
      </w:pPr>
    </w:p>
    <w:p>
      <w:pPr>
        <w:spacing w:after="0"/>
        <w:ind w:firstLine="709"/>
        <w:jc w:val="right"/>
        <w:rPr>
          <w:sz w:val="24"/>
          <w:szCs w:val="24"/>
        </w:rPr>
      </w:pPr>
      <w:r>
        <w:rPr>
          <w:rFonts w:ascii="Times New Roman" w:hAnsi="Times New Roman" w:eastAsia="Arial"/>
          <w:sz w:val="24"/>
          <w:szCs w:val="24"/>
          <w:shd w:val="clear" w:color="auto" w:fill="FFFFFF"/>
        </w:rPr>
        <w:t>Информация предоставлена</w:t>
      </w:r>
      <w:r>
        <w:rPr>
          <w:rFonts w:ascii="Times New Roman" w:hAnsi="Times New Roman" w:eastAsia="Arial"/>
          <w:sz w:val="24"/>
          <w:szCs w:val="24"/>
          <w:shd w:val="clear" w:color="auto" w:fill="FFFFFF"/>
        </w:rPr>
        <w:br w:type="textWrapping"/>
      </w:r>
      <w:r>
        <w:rPr>
          <w:rFonts w:ascii="Times New Roman" w:hAnsi="Times New Roman" w:eastAsia="Arial"/>
          <w:sz w:val="24"/>
          <w:szCs w:val="24"/>
          <w:shd w:val="clear" w:color="auto" w:fill="FFFFFF"/>
        </w:rPr>
        <w:t>© КонсультантПлюс, 1997-2022</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42"/>
    <w:rsid w:val="00275210"/>
    <w:rsid w:val="00DB6C42"/>
    <w:rsid w:val="613200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1"/>
    <w:next w:val="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uiPriority w:val="99"/>
    <w:rPr>
      <w:color w:val="0000FF"/>
      <w:u w:val="single"/>
    </w:rPr>
  </w:style>
  <w:style w:type="character" w:styleId="7">
    <w:name w:val="Strong"/>
    <w:basedOn w:val="4"/>
    <w:qFormat/>
    <w:uiPriority w:val="22"/>
    <w:rPr>
      <w:b/>
      <w:bCs/>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2 Знак"/>
    <w:basedOn w:val="4"/>
    <w:link w:val="2"/>
    <w:uiPriority w:val="9"/>
    <w:rPr>
      <w:rFonts w:ascii="Times New Roman" w:hAnsi="Times New Roman" w:eastAsia="Times New Roman" w:cs="Times New Roman"/>
      <w:b/>
      <w:bCs/>
      <w:sz w:val="36"/>
      <w:szCs w:val="36"/>
      <w:lang w:eastAsia="ru-RU"/>
    </w:rPr>
  </w:style>
  <w:style w:type="paragraph" w:customStyle="1" w:styleId="10">
    <w:name w:val="rev_ann_mr_css_attr"/>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1423</Words>
  <Characters>8115</Characters>
  <Lines>67</Lines>
  <Paragraphs>19</Paragraphs>
  <TotalTime>1</TotalTime>
  <ScaleCrop>false</ScaleCrop>
  <LinksUpToDate>false</LinksUpToDate>
  <CharactersWithSpaces>9519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2022-12-29T05:41:00Z</dcterms:created>
  <dc:creator>User</dc:creator>
  <cp:lastModifiedBy>User</cp:lastModifiedBy>
  <dcterms:modified xsi:type="dcterms:W3CDTF">2022-12-30T08:05:38Z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AE7B416D8AF7462599E4BDD85FC98040</vt:lpwstr>
  </property>
</Properties>
</file>