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Arial"/>
          <w:b/>
          <w:bCs/>
          <w:sz w:val="28"/>
          <w:szCs w:val="28"/>
          <w:shd w:val="clear" w:color="auto" w:fill="FFFFFF"/>
          <w:lang w:val="ru-RU"/>
        </w:rPr>
        <w:t>ПРАВОВЫЕ</w:t>
      </w:r>
      <w:r>
        <w:rPr>
          <w:rFonts w:hint="default" w:ascii="Times New Roman" w:hAnsi="Times New Roman" w:eastAsia="Arial"/>
          <w:b/>
          <w:bCs/>
          <w:sz w:val="28"/>
          <w:szCs w:val="28"/>
          <w:shd w:val="clear" w:color="auto" w:fill="FFFFFF"/>
          <w:lang w:val="ru-RU"/>
        </w:rPr>
        <w:t xml:space="preserve"> НОВОСТИ</w:t>
      </w:r>
      <w:r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</w:pPr>
    </w:p>
    <w:p>
      <w:p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</w:pP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"http://www.consultant.ru/cabinet/stat/fd/2023-01-10/click/consultant/?dst=http%3A%2F%2Fwww.consultant.ru%2Flaw%2Freview%2Flink%2F%3Fid%3D208531986&amp;utm_campaign=fd&amp;utm_source=consultant&amp;utm_medium=email&amp;utm_content=body"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4"/>
          <w:b/>
          <w:bCs/>
          <w:color w:val="auto"/>
          <w:sz w:val="28"/>
          <w:szCs w:val="28"/>
          <w:u w:val="none"/>
        </w:rPr>
        <w:t>Постановлением Правительства РФ от 31.12.2022 N 2568 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</w:t>
      </w:r>
      <w:r>
        <w:rPr>
          <w:rStyle w:val="4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1 января 2023 г. установлена специальная социальная выплата медработникам бюджетных организаций, участвующих в программах ОМС.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категории медицинских работников, которым полагается данная выплата, максимальные месячные размеры выплаты на одного медработника, а также условия выплаты.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частности, установлено, что уровень оплаты труда медработников с 1 января 2023 г. не может быть ниже уровня оплаты труда в 2022 году с учетом ее индексации и специальной социальной выплаты.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Предписано обеспечить начало произведения специальной социальной выплаты не позднее 1 апреля 2023 г.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"http://www.consultant.ru/cabinet/stat/fd/2023-01-10/click/consultant/?dst=http%3A%2F%2Fwww.consultant.ru%2Flaw%2Freview%2Flink%2F%3Fid%3D208531987&amp;utm_campaign=fd&amp;utm_source=consultant&amp;utm_medium=email&amp;utm_content=body"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4"/>
          <w:b/>
          <w:bCs/>
          <w:color w:val="auto"/>
          <w:sz w:val="28"/>
          <w:szCs w:val="28"/>
          <w:u w:val="none"/>
        </w:rPr>
        <w:t>Письмо Минтруда России от 20.12.2022 N 26-2/10/В-17886 «О</w:t>
      </w:r>
      <w:r>
        <w:rPr>
          <w:rStyle w:val="4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4"/>
          <w:b/>
          <w:bCs/>
          <w:color w:val="auto"/>
          <w:sz w:val="28"/>
          <w:szCs w:val="28"/>
          <w:u w:val="none"/>
        </w:rPr>
        <w:t>предоставлении пособий и льгот руководителям некоммерческих организаций»</w:t>
      </w:r>
      <w:r>
        <w:rPr>
          <w:rStyle w:val="4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.</w:t>
      </w:r>
    </w:p>
    <w:p>
      <w:pPr>
        <w:pStyle w:val="7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Минтруд: лица, осуществляющие руководящие функции в НКО безвозмездно, в отношении которых не начисляются страховые взносы на ОПС, относятся к неработающим лицам, страховые пенсии которым индексируются как неработающим пенсионерам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сообщается, что руководители НКО, осуществляющие свою деятельность не на основании трудового договора, а, например, на основании гражданско-правового договора, либо иного документа, предусматривающего полномочия гражданина как руководителя НКО, не могут быть признаны безработными, поскольку являются занятыми согласно Закону о занятости.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Незанятыми могут признаваться исключительно учредители (участники) НКО,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ТСЖ, а также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</w:t>
      </w:r>
      <w:r>
        <w:rPr>
          <w:b/>
          <w:bCs/>
          <w:sz w:val="28"/>
          <w:szCs w:val="28"/>
        </w:rPr>
        <w:t>аключено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"http://www.consultant.ru/cabinet/stat/fd/2023-01-11/click/consultant/?dst=http%3A%2F%2Fwww.consultant.ru%2Flaw%2Freview%2Flink%2F%3Fid%3D208532224&amp;utm_campaign=fd&amp;utm_source=consultant&amp;utm_medium=email&amp;utm_content=body"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4"/>
          <w:b/>
          <w:bCs/>
          <w:color w:val="auto"/>
          <w:sz w:val="28"/>
          <w:szCs w:val="28"/>
          <w:u w:val="none"/>
        </w:rPr>
        <w:t>"Отраслевое соглашение по организациям рыбной отрасли на 2022 - 2023 годы" (утв. Росрыболовством, Общероссийским отраслевым объединением работодателей рыбной отрасли "Российский союз работодателей-рыбопромышленников", Российским профсоюзом работников рыбного хозяйства 05.12.2022)</w:t>
      </w:r>
      <w:r>
        <w:rPr>
          <w:rStyle w:val="4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4"/>
          <w:rFonts w:hint="default"/>
          <w:b/>
          <w:bCs/>
          <w:color w:val="auto"/>
          <w:sz w:val="28"/>
          <w:szCs w:val="28"/>
          <w:u w:val="none"/>
          <w:lang w:val="ru-RU"/>
        </w:rPr>
        <w:t>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Сторонами соглашения являются Российский профсоюз работников рыбного хозяйства и Общероссийское отраслевое объединение работодателей рыбной отрасли "Российский союз работодателей-рыбопромышленников".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устанавливает общие принципы регулирования социально-трудовых и связанных с ними экономических отношений между работниками и работодателями, общие условия оплаты труда, трудовые гарантии, компенсации и льготы работникам, права, обязанности и ответственность сторон.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</w:t>
      </w:r>
      <w:r>
        <w:rPr>
          <w:b/>
          <w:bCs/>
          <w:sz w:val="28"/>
          <w:szCs w:val="28"/>
        </w:rPr>
        <w:t>аключено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"http://www.consultant.ru/cabinet/stat/fd/2023-01-11/click/consultant/?dst=http%3A%2F%2Fwww.consultant.ru%2Flaw%2Freview%2Flink%2F%3Fid%3D208532225&amp;utm_campaign=fd&amp;utm_source=consultant&amp;utm_medium=email&amp;utm_content=body"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4"/>
          <w:b/>
          <w:bCs/>
          <w:color w:val="auto"/>
          <w:sz w:val="28"/>
          <w:szCs w:val="28"/>
          <w:u w:val="none"/>
        </w:rPr>
        <w:t>"Отраслевое тарифное соглашение по горно-металлургическому комплексу Российской Федерации на 2023 - 2025 годы" (утв. Горно-металлургическим профсоюзом России, Общероссийским отраслевым объединением работодателей "Ассоциация промышленников горно-металлургического комплекса России" 15.12.2022)</w:t>
      </w:r>
      <w:r>
        <w:rPr>
          <w:rStyle w:val="4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Сторонами соглашения являются Горно-металлургический профсоюз России и Общероссийское отраслевое объединение работодателей "Ассоциация промышленников горно-металлургического комплекса России". Соглашение определяет общие условия оплаты труда, гарантии, компенсации и льготы работникам отрасли, взаимные обязательства и ответственность сторон.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Действие соглашения распространяется на работодателей и работников организаций горно-металлургического комплекса, в том числе золотодобывающих, алмазодобывающих, аффинажных, ювелирных и иных организаций. Положения соглашения обязательны при заключении трудовых договоров, коллективных договоров и при разрешении индивидуальных и коллективных трудовых споров.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560" w:firstLineChars="200"/>
        <w:jc w:val="both"/>
        <w:textAlignment w:val="baseline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ru-RU" w:eastAsia="zh-CN" w:bidi="ar"/>
        </w:rPr>
        <w:t xml:space="preserve">В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instrText xml:space="preserve"> HYPERLINK "consultantplus://offline/main?base=ksoj001;n=107515;dst=100028" </w:instrTex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Определени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и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1-го К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ассационного суда общей юридикции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от 15.11.2022 N 88-30600/2022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"https://login.consultant.ru/link/?req=opennews&amp;id=21361" </w:instrTex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указано: 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сотрудник не может приостановить работу из-за неоплаты вынужденного прогула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Работника восстановили в должности и взыскали с организации в том числе средний заработок за вынужденный прогул. Сотрудник счел, что выплатили не всю присужденную сумму, и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"consultantplus://offline/main?base=ksoj001;n=107515;dst=100021"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приостановил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 работу. Затем он обратился с иском, чтобы получить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"consultantplus://offline/main?base=law;n=422429;dst=102622"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зарплату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 за данный период.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Три инстанции требование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"consultantplus://offline/main?base=ksoj001;n=107515;dst=100026"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не удовлетворили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. Невыплата средств, которые взыскал суд, не основание приостанавливать работу. Сделать это можно только при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"consultantplus://offline/main?base=law;n=422429;dst=675"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задержке зарплаты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Похожий вывод сделал, например,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"consultantplus://offline/main?base=ksoj006;n=96167;dst=100044"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6-й КСОЮ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Хотя работник поступил неправомерно, расторгать договор за прогул в таких случаях рискованно. Мнение судов о законности подобных увольнений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"consultantplus://offline/main?base=pts;n=5;dst=100986"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неоднозначно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"http://www.consultant.ru/cabinet/stat/fd/2023-01-13/click/consultant/?dst=http%3A%2F%2Fwww.consultant.ru%2Fdocument%2Fcons_doc_LAW_437257%2F&amp;utm_campaign=fd&amp;utm_source=consultant&amp;utm_medium=email&amp;utm_content=body"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4"/>
          <w:b/>
          <w:bCs/>
          <w:color w:val="auto"/>
          <w:sz w:val="28"/>
          <w:szCs w:val="28"/>
          <w:u w:val="none"/>
        </w:rPr>
        <w:t>Постановление Конституционного Суда РФ от 10.01.2023 N 1-П</w:t>
      </w:r>
      <w:r>
        <w:rPr>
          <w:rStyle w:val="4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4"/>
          <w:b/>
          <w:bCs/>
          <w:color w:val="auto"/>
          <w:sz w:val="28"/>
          <w:szCs w:val="28"/>
          <w:u w:val="none"/>
        </w:rPr>
        <w:t>"По делу о проверке конституционности статьи 15 и пункта 2 статьи 1248 Гражданского кодекса Российской Федерации, статьи 106 и части 1 статьи 110 Арбитражного процессуального кодекса Российской Федерации в связи с жалобой общества с ограниченной ответственностью "НИКА-ПЕТРОТЭК"</w:t>
      </w:r>
      <w:r>
        <w:rPr>
          <w:rStyle w:val="4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4"/>
          <w:rFonts w:hint="default"/>
          <w:b/>
          <w:bCs/>
          <w:color w:val="auto"/>
          <w:sz w:val="28"/>
          <w:szCs w:val="28"/>
          <w:u w:val="none"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Суд обязал законодателя предусмотреть специальный правовой механизм возмещения сторонам понесенных ими расходов при рассмотрении споров в Роспатенте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1248 ГК РФ и статья 106 АПК РФ признаны не соответствующими Конституции РФ, поскольку они препятствуют возмещению участвующему в деле об оспаривании решения Роспатента лицу расходов, ранее понесенных им в связи с рассмотрением Роспатентом возражения против выдачи патента на изобретение, притом что в системе действующего правового регулирования какой-либо механизм эффективной защиты права на возмещение таких расходов отсутствует.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Суд отметил, что введение обязательных административных процедур, открывающих возможность для обращения в суд, само по себе не означает ограничения права на судебную защиту, однако законодатель не должен вводить такие условия, которые затрудняли бы доступ к государственной защите прав и свобод.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судебного акта в пользу лица, участвующего в деле об оспаривании решения Роспатента, не может означать необходимости автоматического взыскания расходов, понесенных этим лицом в качестве стороны административного разбирательства. Также и обращение с иском о возмещении расходов, понесенных правообладателем в связи с рассмотрением возражения против выдачи патента в административном порядке, в качестве причиненных ему убытков не всегда может являться эффективным средством правовой защиты.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право на государственную, в том числе судебную, защиту интеллектуальной собственности оказывается неоправданно ограниченным. 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законодателю надлежит установить специальный правовой механизм возмещения указанной категории расходов. До этого расходы, понесенные стороной в ходе административного разбирательства спора о предоставлении правовой охраны результатам интеллектуальной деятельности и средствам индивидуализации, могут быть отнесены - в случае оспаривания принятого Роспатентом решения в суд - на проигравшую сторону по правилам возмещения судебных расходов, предусмотренным арбитражным процессуальным законодательством, исходя из принципов необходимости, разумности и пропорциональности их распределения.</w:t>
      </w:r>
    </w:p>
    <w:p>
      <w:pPr>
        <w:pStyle w:val="6"/>
        <w:spacing w:before="0" w:beforeAutospacing="0" w:after="0" w:afterAutospacing="0"/>
        <w:ind w:left="0" w:leftChars="0" w:firstLine="658" w:firstLineChars="235"/>
        <w:jc w:val="both"/>
        <w:rPr>
          <w:b/>
          <w:bCs/>
          <w:sz w:val="28"/>
          <w:szCs w:val="28"/>
        </w:rPr>
      </w:pPr>
    </w:p>
    <w:p>
      <w:pPr>
        <w:spacing w:after="0" w:line="240" w:lineRule="auto"/>
        <w:ind w:left="0" w:leftChars="0" w:firstLine="658" w:firstLineChars="235"/>
        <w:jc w:val="right"/>
        <w:rPr>
          <w:sz w:val="28"/>
          <w:szCs w:val="28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ascii="Times New Roman" w:hAnsi="Times New Roman" w:eastAsia="Arial"/>
          <w:sz w:val="28"/>
          <w:szCs w:val="28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eastAsia="Arial"/>
          <w:sz w:val="28"/>
          <w:szCs w:val="28"/>
          <w:shd w:val="clear" w:color="auto" w:fill="FFFFFF"/>
        </w:rPr>
        <w:t>© КонсультантПлюс, 1997-2022</w:t>
      </w:r>
      <w:bookmarkStart w:id="0" w:name="_GoBack"/>
      <w:bookmarkEnd w:id="0"/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9000F"/>
    <w:rsid w:val="00121B66"/>
    <w:rsid w:val="0019000F"/>
    <w:rsid w:val="002A656C"/>
    <w:rsid w:val="004B008B"/>
    <w:rsid w:val="00787479"/>
    <w:rsid w:val="00811756"/>
    <w:rsid w:val="00AF213C"/>
    <w:rsid w:val="00B21B40"/>
    <w:rsid w:val="00C503E7"/>
    <w:rsid w:val="00E32075"/>
    <w:rsid w:val="1C6F0185"/>
    <w:rsid w:val="75A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1190</Words>
  <Characters>6789</Characters>
  <Lines>56</Lines>
  <Paragraphs>15</Paragraphs>
  <TotalTime>1</TotalTime>
  <ScaleCrop>false</ScaleCrop>
  <LinksUpToDate>false</LinksUpToDate>
  <CharactersWithSpaces>7964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2023-01-10T06:24:00Z</dcterms:created>
  <dc:creator>User</dc:creator>
  <cp:lastModifiedBy>User</cp:lastModifiedBy>
  <dcterms:modified xsi:type="dcterms:W3CDTF">2023-01-16T06:22:54Z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B14414C5A5144B378D179AE106A82319</vt:lpwstr>
  </property>
</Properties>
</file>