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hint="default" w:ascii="Times New Roman" w:hAnsi="Times New Roman" w:eastAsia="Arial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Arial"/>
          <w:b/>
          <w:bCs/>
          <w:sz w:val="28"/>
          <w:szCs w:val="28"/>
          <w:shd w:val="clear" w:color="auto" w:fill="FFFFFF"/>
          <w:lang w:val="ru-RU"/>
        </w:rPr>
        <w:t>ПРАВОВЫЕ</w:t>
      </w:r>
      <w:r>
        <w:rPr>
          <w:rFonts w:hint="default" w:ascii="Times New Roman" w:hAnsi="Times New Roman" w:eastAsia="Arial"/>
          <w:b/>
          <w:bCs/>
          <w:sz w:val="28"/>
          <w:szCs w:val="28"/>
          <w:shd w:val="clear" w:color="auto" w:fill="FFFFFF"/>
          <w:lang w:val="ru-RU"/>
        </w:rPr>
        <w:t xml:space="preserve"> НОВОСТИ 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"http://www.consultant.ru/cabinet/stat/fd/2023-01-16/click/consultant/?dst=http%3A%2F%2Fwww.consultant.ru%2Fdocument%2Fcons_doc_LAW_437414%2F&amp;utm_campaign=fd&amp;utm_source=consultant&amp;utm_medium=email&amp;utm_content=body"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Указу Президента РФ от 13.01.2023 N 12 "О некоторых вопросах, связанных с предоставлением мер социальной поддержки семьям, имеющим детей"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право на получение "детских" выплат, назначенных до 1 января 2023 года, сохраняется до окончания периодов их выплаты.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единого пособия в связи с рождением и воспитанием ребенка признаны утратившими силу некоторые указы, предусматривающие назначение выплат, установленных в рамках предоставления мер господдержки семей, имеющих детей.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право на некоторые выплаты сохраняется до окончания периодов, на которые они были назначены, или до назначения ежемесячного пособия в связи с рождением и воспитанием ребенка.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случае рождения до 1 января 2023 г. третьего ребенка или последующих детей граждане вправе обратиться за назначением выплаты, предусмотренной Указом от 7 мая 2012 г. N 606, или за назначением нового пособия в связи с рождением и воспитанием ребенка.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"http://www.consultant.ru/cabinet/stat/fd/2023-01-16/click/consultant/?dst=http%3A%2F%2Fwww.consultant.ru%2Fdocument%2Fcons_doc_LAW_437415%2F&amp;utm_campaign=fd&amp;utm_source=consultant&amp;utm_medium=email&amp;utm_content=body"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Указом Президента РФ от 13.01.2023 N 9 "О внесении изменения в Указ Президента Российской Федерации от 25 августа 2021 г. N 493 "О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причинам"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уточнен порядок замещения должностей госслужбы гражданами РФ, имеющими гражданство иностранного государства, которое не прекращено по не зависящим от них причинам.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Предусмотрено,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года,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по вопросам гражданства при Президенте РФ до 15 апреля 2024 года.Настоящий указ вступает в силу со дня его подписания 13.01.2023.</w:t>
      </w:r>
      <w:r>
        <w:rPr>
          <w:rFonts w:ascii="Arial" w:hAnsi="Arial" w:cs="Arial"/>
          <w:sz w:val="28"/>
          <w:szCs w:val="28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Style w:val="6"/>
          <w:sz w:val="28"/>
          <w:szCs w:val="28"/>
        </w:rPr>
        <w:t xml:space="preserve">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"http://www.consultant.ru/cabinet/stat/fd/2023-01-17/click/consultant/?dst=http%3A%2F%2Fwww.consultant.ru%2Fdocument%2Fcons_doc_LAW_437495%2F&amp;utm_campaign=fd&amp;utm_source=consultant&amp;utm_medium=email&amp;utm_content=body"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13.01.2023 N 15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внесении изменений в Постановление Правительства Российской Федерации от 20 октября 2022 г. N 1874"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мобилизованные предприниматели освобождены от необходимости предоставлять обязательную статистическую отчетность на период прохождения военной службы</w:t>
      </w:r>
      <w:r>
        <w:rPr>
          <w:rFonts w:hint="default"/>
          <w:b/>
          <w:bCs/>
          <w:sz w:val="28"/>
          <w:szCs w:val="28"/>
          <w:lang w:val="ru-RU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ФНС России будет представлять в Росстат информацию о мобилизованных лицах и об организациях, в которых мобилизованное лицо является единственным учредителем (участником) и одновременно осуществляет полномочия единоличного исполнительного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"http://www.consultant.ru/cabinet/stat/fd/2023-01-16/click/consultant/?dst=http%3A%2F%2Fwww.consultant.ru%2Fdocument%2Fcons_doc_LAW_437431%2F&amp;utm_campaign=fd&amp;utm_source=consultant&amp;utm_medium=email&amp;utm_content=body"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12.01.2023 N 11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"Об утверждении Положения о межведомственной комиссии по реализации трудовых, пенсионных и социальных прав отдельных категорий лиц, а также примерного перечня документов (сведений), представляемых для рассмотрения в межведомственную комиссию по реализации трудовых, пенсионных и социальных прав отдельных категорий лиц"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утверждено Положение о межведомственной комиссии по реализации трудовых, пенсионных и социальных прав лиц, проживающих на территориях новых регионов РФ.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создания комиссии - реализация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и Херсонской областей.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установлены задачи и функции комиссии, а также закреплен примерный перечень документов (сведений), представляемых для рассмотрения в комиссию.</w:t>
      </w:r>
    </w:p>
    <w:p>
      <w:pPr>
        <w:pStyle w:val="7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"http://www.consultant.ru/cabinet/stat/fd/2023-01-18/click/consultant/?dst=http%3A%2F%2Fwww.consultant.ru%2Flaw%2Freview%2Flink%2F%3Fid%3D208541826&amp;utm_campaign=fd&amp;utm_source=consultant&amp;utm_medium=email&amp;utm_content=body"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Распоряжению Правительства РФ от 16.01.2023 N 42-р  «О внесении изменений в распоряжение Правительства РФ от 30.12.2005 N 2347-р»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1 марта 2023 г. расширяется федеральный перечень технических средств реабилитации, предоставляемых инвалиду.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включаются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"http://www.consultant.ru/cabinet/stat/fd/2023-01-17/click/consultant/?dst=http%3A%2F%2Fwww.consultant.ru%2Flaw%2Freview%2Flink%2F%3Fid%3D208541735&amp;utm_campaign=fd&amp;utm_source=consultant&amp;utm_medium=email&amp;utm_content=body"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год" (утв. решением Российской трехсторонней комиссии по регулированию социально-трудовых отношений от 23.12.2022, протокол N 11)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>.</w:t>
      </w:r>
    </w:p>
    <w:p>
      <w:pPr>
        <w:pStyle w:val="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Единые рекомендации по установлению систем оплаты труда работников государственных и муниципальных учреждений на 2023 год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учитываются Правительством и органами власти при определении объемов финансового обеспечения деятельности учреждений, а также трехсторонними комиссиями при подготовке соглашений и рекомендаций по организации оплаты труда.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рекомендациях приведены, в частности, принципы формирования федеральной, региональных и муниципальных систем оплаты труда, перечень норм и условий оплаты труда, а также определены особенности, касающиеся систем оплаты труда руководителей учреждений, их заместителей и главных бухгалтеров, работников образовательных учреждений, учреждений в сфере культуры, физической культуры и спорта, учреждений ветеринарии.</w:t>
      </w:r>
    </w:p>
    <w:p>
      <w:pPr>
        <w:pStyle w:val="7"/>
        <w:spacing w:before="0" w:beforeAutospacing="0" w:after="0" w:afterAutospacing="0"/>
        <w:jc w:val="both"/>
        <w:rPr>
          <w:rStyle w:val="6"/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"http://www.consultant.ru/cabinet/stat/fd/2023-01-19/click/consultant/?dst=http%3A%2F%2Fwww.consultant.ru%2Fdocument%2Fcons_doc_LAW_437710%2F&amp;utm_campaign=fd&amp;utm_source=consultant&amp;utm_medium=email&amp;utm_content=body"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В Информации "ФНС России напоминает, когда с дохода при продаже имущества не нужно платить НДФЛ"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ФНС разъяснила, в каких случаях доход от продажи имущества не облагается НДФЛ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идет, в частности, об освобождении от НДФЛ доходов, полученных от продажи объекта недвижимости, в случае его нахождения в собственности налогоплательщика в течение минимального предельного срока владения (пять лет, в некоторых случаях - три года, а при соблюдении ряда условий - независимо от срока нахождения в собственности). 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Сообщается также об изменении порядка предоставления декларации по форме 3-НДФЛ в случае продажи недвижимого имущества.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"http://www.consultant.ru/cabinet/stat/fd/2023-01-17/click/consultant/?dst=http%3A%2F%2Fwww.consultant.ru%2Fdocument%2Fcons_doc_LAW_437511%2F&amp;utm_campaign=fd&amp;utm_source=consultant&amp;utm_medium=email&amp;utm_content=body"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  от 12.01.2023 N 2-П 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Галимьяновой и В.С. Пузрякова"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К</w:t>
      </w:r>
      <w:r>
        <w:rPr>
          <w:b/>
          <w:bCs/>
          <w:sz w:val="28"/>
          <w:szCs w:val="28"/>
        </w:rPr>
        <w:t>онституционный Суд России отграничил находку от кражи.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 закрепил в ГК РФ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 и не противоречат Конституции РФ.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Определении 1-го КСОЮ от 28.11.2022 N </w:t>
      </w:r>
      <w:r>
        <w:rPr>
          <w:rStyle w:val="10"/>
          <w:b/>
          <w:sz w:val="28"/>
          <w:szCs w:val="28"/>
        </w:rPr>
        <w:t>88-29926/2022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"https://login.consultant.ru/link/?req=opennews&amp;id=21418"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color w:val="auto"/>
          <w:sz w:val="28"/>
          <w:szCs w:val="28"/>
          <w:u w:val="none"/>
          <w:shd w:val="clear" w:color="auto" w:fill="FFFFFF"/>
        </w:rPr>
        <w:t xml:space="preserve">суд с увольнением не согласился, поскольку </w:t>
      </w:r>
      <w:r>
        <w:rPr>
          <w:rStyle w:val="5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"https://login.consultant.ru/link/?req=opennews&amp;id=21418"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color w:val="auto"/>
          <w:sz w:val="28"/>
          <w:szCs w:val="28"/>
          <w:u w:val="none"/>
          <w:shd w:val="clear" w:color="auto" w:fill="FFFFFF"/>
        </w:rPr>
        <w:t>бъяснение причины прогула не запросили, но зафиксировали отказ от его предоставления</w:t>
      </w:r>
      <w:r>
        <w:rPr>
          <w:rStyle w:val="5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b/>
          <w:sz w:val="28"/>
          <w:szCs w:val="28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Апелляция и кассация сочли незаконным увольнение сотрудника за прогул, в том числе потому, что с него не истребовали объяснений. Работник в присутствии руководителя отказался называть причины неявки, о чем составили докладную записку. Однако это не подтверждает, что организация истребовала с него объяснения перед наказанием.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Определением от 21.11.2022 N </w:t>
      </w:r>
      <w:r>
        <w:rPr>
          <w:rStyle w:val="10"/>
          <w:b/>
          <w:sz w:val="28"/>
          <w:szCs w:val="28"/>
        </w:rPr>
        <w:t>88-30187/2022</w:t>
      </w:r>
      <w:r>
        <w:rPr>
          <w:b/>
          <w:sz w:val="28"/>
          <w:szCs w:val="28"/>
        </w:rPr>
        <w:t xml:space="preserve"> 1-й Кассационный 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"https://login.consultant.ru/link/?req=opennews&amp;id=21426"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color w:val="auto"/>
          <w:sz w:val="28"/>
          <w:szCs w:val="28"/>
          <w:u w:val="none"/>
          <w:shd w:val="clear" w:color="auto" w:fill="FFFFFF"/>
        </w:rPr>
        <w:t>уд общей юрисдикции отменил увольнение по итогам испытания, поскольку работодатель не указал, с какими обязанностями не справился работник.</w:t>
      </w:r>
      <w:r>
        <w:rPr>
          <w:rStyle w:val="5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>
      <w:pPr>
        <w:pStyle w:val="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Сотрудника уволили за то, что он не прошел испытание, на основании служебных записок. В них отразили, что работник в том числе пререкался с руководством, использовал личный планшет и не выполнял поручения. Увольнение он оспорил. Апелляция и кассация отметили: организация нарушила процедуру признания работника не выдержавшим испытание. В уведомлениях и приказе об увольнении не указали: причины расторжения трудового договора; неисполненные обязанности; фактические обстоятельства, которые привели к выводу о неудовлетворительных результатах. Изложенные в служебных записках нарушения не соотнесли с должностной инструкцией и не оценили, насколько они повлияли на выполнение обязанностей.</w:t>
      </w:r>
    </w:p>
    <w:p>
      <w:pPr>
        <w:pStyle w:val="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outlineLvl w:val="9"/>
        <w:rPr>
          <w:rStyle w:val="5"/>
          <w:rFonts w:hint="default" w:ascii="Times New Roman" w:hAnsi="Times New Roman" w:cs="Times New Roman"/>
          <w:b/>
          <w:bCs w:val="0"/>
          <w:color w:val="auto"/>
          <w:sz w:val="28"/>
          <w:szCs w:val="28"/>
          <w:u w:val="non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Определением от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1.202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по делу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N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</w:rPr>
        <w:t>8Г-33402/2022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-й Кассационный с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instrText xml:space="preserve"> HYPERLINK "https://login.consultant.ru/link/?req=opennews&amp;id=21426" \t "_blank" </w:instrTex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bCs w:val="0"/>
          <w:color w:val="auto"/>
          <w:sz w:val="28"/>
          <w:szCs w:val="28"/>
          <w:u w:val="none"/>
          <w:shd w:val="clear" w:color="auto" w:fill="FFFFFF"/>
        </w:rPr>
        <w:t xml:space="preserve">уд общей юрисдикции отменил </w:t>
      </w:r>
      <w:r>
        <w:rPr>
          <w:rStyle w:val="5"/>
          <w:rFonts w:hint="default" w:ascii="Times New Roman" w:hAnsi="Times New Roman" w:cs="Times New Roman"/>
          <w:b/>
          <w:bCs w:val="0"/>
          <w:color w:val="auto"/>
          <w:sz w:val="28"/>
          <w:szCs w:val="28"/>
          <w:u w:val="none"/>
          <w:shd w:val="clear" w:color="auto" w:fill="FFFFFF"/>
          <w:lang w:val="ru-RU"/>
        </w:rPr>
        <w:t xml:space="preserve">решения судов первой и аппелляционной инстанций, которыми бывшему работнику одного из крупнейших ритейлеров Краснодарского края отказано в востановлении на работе. Дело направлено на новое рассмотрение.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outlineLvl w:val="9"/>
        <w:rPr>
          <w:rStyle w:val="5"/>
          <w:rFonts w:hint="default" w:ascii="Times New Roman" w:hAnsi="Times New Roman" w:cs="Times New Roman"/>
          <w:b w:val="0"/>
          <w:bCs/>
          <w:color w:val="auto"/>
          <w:sz w:val="28"/>
          <w:szCs w:val="28"/>
          <w:u w:val="none"/>
          <w:shd w:val="clear" w:color="auto" w:fill="FFFFFF"/>
          <w:lang w:val="ru-RU"/>
        </w:rPr>
      </w:pPr>
      <w:bookmarkStart w:id="0" w:name="_GoBack"/>
      <w:bookmarkEnd w:id="0"/>
      <w:r>
        <w:rPr>
          <w:rStyle w:val="5"/>
          <w:rFonts w:hint="default" w:ascii="Times New Roman" w:hAnsi="Times New Roman" w:cs="Times New Roman"/>
          <w:b w:val="0"/>
          <w:bCs/>
          <w:color w:val="auto"/>
          <w:sz w:val="28"/>
          <w:szCs w:val="28"/>
          <w:u w:val="none"/>
          <w:shd w:val="clear" w:color="auto" w:fill="FFFFFF"/>
          <w:lang w:val="ru-RU"/>
        </w:rPr>
        <w:t>В</w:t>
      </w:r>
      <w:r>
        <w:rPr>
          <w:rStyle w:val="5"/>
          <w:rFonts w:hint="default" w:ascii="Times New Roman" w:hAnsi="Times New Roman" w:cs="Times New Roman"/>
          <w:b/>
          <w:bCs w:val="0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Style w:val="5"/>
          <w:rFonts w:hint="default" w:ascii="Times New Roman" w:hAnsi="Times New Roman" w:cs="Times New Roman"/>
          <w:b w:val="0"/>
          <w:bCs/>
          <w:color w:val="auto"/>
          <w:sz w:val="28"/>
          <w:szCs w:val="28"/>
          <w:u w:val="none"/>
          <w:shd w:val="clear" w:color="auto" w:fill="FFFFFF"/>
          <w:lang w:val="ru-RU"/>
        </w:rPr>
        <w:t xml:space="preserve"> связи с тем, что истец является неосвобожденным председателем первичной организации профсоюза «Торговое единство», юридическую помощь в восстановлении на работе ему оказывают юристы Краснодарского краевого профобъединения.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outlineLvl w:val="9"/>
        <w:rPr>
          <w:rStyle w:val="5"/>
          <w:rFonts w:hint="default" w:ascii="Times New Roman" w:hAnsi="Times New Roman" w:cs="Times New Roman"/>
          <w:b w:val="0"/>
          <w:bCs/>
          <w:color w:val="auto"/>
          <w:sz w:val="28"/>
          <w:szCs w:val="28"/>
          <w:u w:val="none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outlineLvl w:val="9"/>
        <w:rPr>
          <w:rFonts w:hint="default"/>
          <w:b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b/>
          <w:bCs w:val="0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Arial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right"/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Arial"/>
          <w:sz w:val="28"/>
          <w:szCs w:val="28"/>
          <w:shd w:val="clear" w:color="auto" w:fill="FFFFFF"/>
        </w:rPr>
        <w:t>Информация п</w:t>
      </w:r>
      <w:r>
        <w:rPr>
          <w:rFonts w:ascii="Times New Roman" w:hAnsi="Times New Roman" w:eastAsia="Arial"/>
          <w:sz w:val="28"/>
          <w:szCs w:val="28"/>
          <w:shd w:val="clear" w:color="auto" w:fill="FFFFFF"/>
          <w:lang w:val="ru-RU"/>
        </w:rPr>
        <w:t>одготовлена</w:t>
      </w:r>
      <w:r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Arial"/>
          <w:sz w:val="28"/>
          <w:szCs w:val="28"/>
          <w:shd w:val="clear" w:color="auto" w:fill="FFFFFF"/>
          <w:lang w:val="ru-RU"/>
        </w:rPr>
        <w:t xml:space="preserve">с использованием материалов </w:t>
      </w:r>
    </w:p>
    <w:p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  <w:shd w:val="clear" w:color="auto" w:fill="FFFFFF"/>
        </w:rPr>
        <w:t>© КонсультантПлюс, 1997-2022</w:t>
      </w:r>
    </w:p>
    <w:p>
      <w:pPr>
        <w:spacing w:after="0"/>
        <w:ind w:firstLine="709"/>
        <w:jc w:val="right"/>
        <w:rPr>
          <w:sz w:val="28"/>
          <w:szCs w:val="28"/>
        </w:rPr>
      </w:pP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E0620"/>
    <w:rsid w:val="000C6C6C"/>
    <w:rsid w:val="00337199"/>
    <w:rsid w:val="00425B4D"/>
    <w:rsid w:val="00573375"/>
    <w:rsid w:val="00584E02"/>
    <w:rsid w:val="00586F42"/>
    <w:rsid w:val="006D0DFC"/>
    <w:rsid w:val="00850A34"/>
    <w:rsid w:val="008956F7"/>
    <w:rsid w:val="008E1E80"/>
    <w:rsid w:val="00912F98"/>
    <w:rsid w:val="009846B1"/>
    <w:rsid w:val="00A6107C"/>
    <w:rsid w:val="00CB611E"/>
    <w:rsid w:val="00D31417"/>
    <w:rsid w:val="00EE0620"/>
    <w:rsid w:val="00FB37D1"/>
    <w:rsid w:val="00FC0401"/>
    <w:rsid w:val="6C57512C"/>
    <w:rsid w:val="6C6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js-phone-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2509</Words>
  <Characters>14303</Characters>
  <Lines>119</Lines>
  <Paragraphs>33</Paragraphs>
  <TotalTime>11</TotalTime>
  <ScaleCrop>false</ScaleCrop>
  <LinksUpToDate>false</LinksUpToDate>
  <CharactersWithSpaces>16779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2023-01-16T12:44:00Z</dcterms:created>
  <dc:creator>User</dc:creator>
  <cp:lastModifiedBy>User</cp:lastModifiedBy>
  <dcterms:modified xsi:type="dcterms:W3CDTF">2023-01-20T06:29:54Z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5E2B40E18E184496AC9C89CB6FADAEA2</vt:lpwstr>
  </property>
</Properties>
</file>