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5C2E">
      <w:pPr>
        <w:pStyle w:val="1"/>
        <w:jc w:val="both"/>
        <w:rPr>
          <w:rFonts w:ascii="Times New Roman" w:hAnsi="Times New Roman" w:hint="default"/>
          <w:b w:val="0"/>
          <w:bCs w:val="0"/>
          <w:kern w:val="0"/>
          <w:sz w:val="28"/>
          <w:szCs w:val="28"/>
          <w:lang w:bidi="ar"/>
        </w:rPr>
      </w:pPr>
      <w:bookmarkStart w:id="0" w:name="_GoBack"/>
      <w:bookmarkEnd w:id="0"/>
      <w:r>
        <w:rPr>
          <w:rFonts w:ascii="Times New Roman" w:hAnsi="Times New Roman" w:hint="default"/>
          <w:sz w:val="28"/>
          <w:szCs w:val="28"/>
          <w:lang w:val="ru-RU"/>
        </w:rPr>
        <w:t xml:space="preserve">Социальный фонд России со ссылкой на трудовое законодательство в письме от 17.08.2023 № 09-20/140554 указал, что страховой </w:t>
      </w:r>
      <w:r>
        <w:rPr>
          <w:rFonts w:ascii="Times New Roman" w:hAnsi="Times New Roman" w:hint="default"/>
          <w:sz w:val="28"/>
          <w:szCs w:val="28"/>
        </w:rPr>
        <w:t>стаж можно считать по нескольким трудовым книжкам</w:t>
      </w:r>
      <w:r>
        <w:rPr>
          <w:rFonts w:ascii="Times New Roman" w:hAnsi="Times New Roman" w:hint="default"/>
          <w:sz w:val="28"/>
          <w:szCs w:val="28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>Если при приеме работник предъявил две трудовые книжки,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 xml:space="preserve"> не запрещено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 xml:space="preserve"> определять ра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>змер больничного пособия с учетом стажа по обеим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>. При этом, з</w:t>
      </w:r>
      <w:r>
        <w:rPr>
          <w:rFonts w:ascii="Times New Roman" w:hAnsi="Times New Roman" w:hint="default"/>
          <w:b w:val="0"/>
          <w:bCs w:val="0"/>
          <w:kern w:val="0"/>
          <w:sz w:val="28"/>
          <w:szCs w:val="28"/>
          <w:lang w:bidi="ar"/>
        </w:rPr>
        <w:t>аписи в трудовой книжке, учитываемые при подсчете страхового стажа, должны быть оформлены в соответствии с трудовым законодательством, действовавшим на день их внесения в трудовую книжку</w:t>
      </w:r>
      <w:r>
        <w:rPr>
          <w:rFonts w:ascii="Times New Roman" w:hAnsi="Times New Roman" w:hint="default"/>
          <w:b w:val="0"/>
          <w:bCs w:val="0"/>
          <w:kern w:val="0"/>
          <w:sz w:val="28"/>
          <w:szCs w:val="28"/>
          <w:lang w:val="ru-RU" w:bidi="ar"/>
        </w:rPr>
        <w:t xml:space="preserve">. 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>Аналоги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>чную позицию ранее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 xml:space="preserve"> высказывал 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>Роструд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>, отметив, что и</w:t>
      </w:r>
      <w:r>
        <w:rPr>
          <w:rFonts w:ascii="Times New Roman" w:hAnsi="Times New Roman" w:hint="default"/>
          <w:b w:val="0"/>
          <w:bCs w:val="0"/>
          <w:kern w:val="0"/>
          <w:sz w:val="28"/>
          <w:szCs w:val="28"/>
          <w:lang w:bidi="ar"/>
        </w:rPr>
        <w:t>счисление страхового стажа производится в календарном порядке. В случае совпадения по времени нескольких периодов, засчитываемых в страховой стаж, учитывается один из таких периодов по выбору застрахован</w:t>
      </w:r>
      <w:r>
        <w:rPr>
          <w:rFonts w:ascii="Times New Roman" w:hAnsi="Times New Roman" w:hint="default"/>
          <w:b w:val="0"/>
          <w:bCs w:val="0"/>
          <w:kern w:val="0"/>
          <w:sz w:val="28"/>
          <w:szCs w:val="28"/>
          <w:lang w:bidi="ar"/>
        </w:rPr>
        <w:t xml:space="preserve">ного лица. </w:t>
      </w:r>
    </w:p>
    <w:p w:rsidR="00000000" w:rsidRDefault="00F85C2E">
      <w:pPr>
        <w:pStyle w:val="1"/>
        <w:jc w:val="both"/>
        <w:rPr>
          <w:rFonts w:ascii="Times New Roman" w:hAnsi="Times New Roman" w:hint="default"/>
          <w:b w:val="0"/>
          <w:bCs w:val="0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lang w:val="ru-RU"/>
        </w:rPr>
        <w:t>Исправление ошибочно внесенной записи об увольнении</w:t>
      </w:r>
      <w:r>
        <w:rPr>
          <w:rFonts w:ascii="Times New Roman" w:hAnsi="Times New Roman" w:hint="default"/>
          <w:sz w:val="28"/>
          <w:szCs w:val="28"/>
        </w:rPr>
        <w:t xml:space="preserve"> в часть трудовой книжки, предназначенную для сведений о награждениях. 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>Минтруд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 xml:space="preserve"> письмом от 15.08.2023 № 14-6/ООГ-5334 ответил, что 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 xml:space="preserve">работодатель, допустивший внесение неправильной записи, обязан 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>устранить допущенное нарушение трудового законодательства.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 xml:space="preserve"> Разъяснения ведомством даны со ссылкой на Порядок ведения и хранения трудовых книжек, утвежденный приказом Минтруда от 19.05.2021 № 320н, и статью 66 Трудового кодекса Российской Федерации. В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 xml:space="preserve"> трудо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>вой книжке записи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 xml:space="preserve"> зачеркивать запрещено, их необходимо исправлять в соответствии с установленным Порядком.</w:t>
      </w:r>
    </w:p>
    <w:p w:rsidR="00000000" w:rsidRDefault="00F85C2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Справка о среднем заработке для пособия по безработице: с 10 сентября применяют утвержденную форму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00000" w:rsidRDefault="00F85C2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Минтруд приказом от 27.07.2023 № 604н утвердил н</w:t>
      </w:r>
      <w:r>
        <w:rPr>
          <w:rFonts w:ascii="Times New Roman" w:hAnsi="Times New Roman"/>
          <w:sz w:val="28"/>
          <w:szCs w:val="28"/>
          <w:lang w:val="ru-RU"/>
        </w:rPr>
        <w:t xml:space="preserve">овую форму справки о среднем заработке, исчисленном работодателем. </w:t>
      </w:r>
      <w:r>
        <w:rPr>
          <w:rFonts w:ascii="Times New Roman" w:hAnsi="Times New Roman"/>
          <w:sz w:val="28"/>
          <w:szCs w:val="28"/>
        </w:rPr>
        <w:t xml:space="preserve">В справку включили данные о </w:t>
      </w:r>
      <w:r>
        <w:rPr>
          <w:rFonts w:ascii="Times New Roman" w:hAnsi="Times New Roman"/>
          <w:sz w:val="28"/>
          <w:szCs w:val="28"/>
          <w:lang w:val="ru-RU"/>
        </w:rPr>
        <w:t>работодателе и работнике.</w:t>
      </w:r>
      <w:r>
        <w:rPr>
          <w:rFonts w:ascii="Times New Roman" w:hAnsi="Times New Roman"/>
          <w:sz w:val="28"/>
          <w:szCs w:val="28"/>
        </w:rPr>
        <w:t xml:space="preserve"> В отношении последнего нужно будет в числе прочего отразить период работы, привести сведения об отпусках по беременности и родам и по у</w:t>
      </w:r>
      <w:r>
        <w:rPr>
          <w:rFonts w:ascii="Times New Roman" w:hAnsi="Times New Roman"/>
          <w:sz w:val="28"/>
          <w:szCs w:val="28"/>
        </w:rPr>
        <w:t>ходу за ребенком, если они были в течение 12 месяцев перед увольнением, указать средний заработок.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00000" w:rsidRDefault="00F85C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Ранее не было формы, утвержденной на федеральном уровне. Работодатели использовали формы, разработанные на региональном уровне. Если в субъекте РФ ее не был</w:t>
      </w:r>
      <w:r>
        <w:rPr>
          <w:rFonts w:ascii="Times New Roman" w:hAnsi="Times New Roman"/>
          <w:sz w:val="28"/>
          <w:szCs w:val="28"/>
        </w:rPr>
        <w:t xml:space="preserve">о, разрешалось применять </w:t>
      </w:r>
      <w:r>
        <w:rPr>
          <w:rFonts w:ascii="Times New Roman" w:hAnsi="Times New Roman"/>
          <w:sz w:val="28"/>
          <w:szCs w:val="28"/>
          <w:lang w:val="ru-RU"/>
        </w:rPr>
        <w:t>форму,</w:t>
      </w:r>
      <w:r>
        <w:rPr>
          <w:rFonts w:ascii="Times New Roman" w:hAnsi="Times New Roman"/>
          <w:sz w:val="28"/>
          <w:szCs w:val="28"/>
        </w:rPr>
        <w:t xml:space="preserve"> которую рекомендовал Минтруд</w:t>
      </w:r>
      <w:r>
        <w:rPr>
          <w:rFonts w:ascii="Times New Roman" w:hAnsi="Times New Roman"/>
          <w:sz w:val="28"/>
          <w:szCs w:val="28"/>
          <w:lang w:val="ru-RU"/>
        </w:rPr>
        <w:t xml:space="preserve"> РФ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F85C2E">
      <w:pPr>
        <w:pStyle w:val="a5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Выплата алиментов на содержание ребенка в добровольном порядке и без исплнительного листа. </w:t>
      </w:r>
      <w:r>
        <w:rPr>
          <w:b/>
          <w:bCs/>
          <w:sz w:val="28"/>
          <w:szCs w:val="28"/>
          <w:lang w:val="ru-RU"/>
        </w:rPr>
        <w:t xml:space="preserve">Минтруд РФ в письме от 12.07.2023 </w:t>
      </w:r>
      <w:r>
        <w:rPr>
          <w:b/>
          <w:bCs/>
          <w:sz w:val="28"/>
          <w:szCs w:val="28"/>
          <w:lang w:val="ru-RU"/>
        </w:rPr>
        <w:t xml:space="preserve">      </w:t>
      </w:r>
      <w:r>
        <w:rPr>
          <w:b/>
          <w:bCs/>
          <w:sz w:val="28"/>
          <w:szCs w:val="28"/>
          <w:lang w:val="ru-RU"/>
        </w:rPr>
        <w:t>№ 27-3/ООГ-7317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сообщ</w:t>
      </w:r>
      <w:r>
        <w:rPr>
          <w:sz w:val="28"/>
          <w:szCs w:val="28"/>
          <w:lang w:val="ru-RU"/>
        </w:rPr>
        <w:t>ил</w:t>
      </w:r>
      <w:r>
        <w:rPr>
          <w:sz w:val="28"/>
          <w:szCs w:val="28"/>
        </w:rPr>
        <w:t>, что при отсутствии судебного решени</w:t>
      </w:r>
      <w:r>
        <w:rPr>
          <w:sz w:val="28"/>
          <w:szCs w:val="28"/>
        </w:rPr>
        <w:t>я или нотариально удостоверенного соглашения об уплате алиментов основанием для начисления и перевода алиментов получателю может являться письменное заявление работника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При этом, с</w:t>
      </w:r>
      <w:r>
        <w:rPr>
          <w:sz w:val="28"/>
          <w:szCs w:val="28"/>
        </w:rPr>
        <w:t xml:space="preserve">огласно статье 137 </w:t>
      </w:r>
      <w:r>
        <w:rPr>
          <w:sz w:val="28"/>
          <w:szCs w:val="28"/>
          <w:lang w:val="ru-RU"/>
        </w:rPr>
        <w:t>ТК РФ</w:t>
      </w:r>
      <w:r>
        <w:rPr>
          <w:sz w:val="28"/>
          <w:szCs w:val="28"/>
        </w:rPr>
        <w:t xml:space="preserve"> удержания из заработной платы работника производят</w:t>
      </w:r>
      <w:r>
        <w:rPr>
          <w:sz w:val="28"/>
          <w:szCs w:val="28"/>
        </w:rPr>
        <w:t xml:space="preserve">ся только в случаях, </w:t>
      </w:r>
      <w:r>
        <w:rPr>
          <w:sz w:val="28"/>
          <w:szCs w:val="28"/>
        </w:rPr>
        <w:lastRenderedPageBreak/>
        <w:t>предусмотренных</w:t>
      </w:r>
      <w:r>
        <w:rPr>
          <w:sz w:val="28"/>
          <w:szCs w:val="28"/>
          <w:lang w:val="ru-RU"/>
        </w:rPr>
        <w:t xml:space="preserve"> ТК РФ</w:t>
      </w:r>
      <w:r>
        <w:rPr>
          <w:sz w:val="28"/>
          <w:szCs w:val="28"/>
        </w:rPr>
        <w:t xml:space="preserve"> и иными федеральными законами.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>Роструд высказывал мнение о правомерности перечисления заработной платы работников по их заявлениям другим лицам, поскольку в такой ситуации речь идет не об удержании, а о во</w:t>
      </w:r>
      <w:r>
        <w:rPr>
          <w:sz w:val="28"/>
          <w:szCs w:val="28"/>
        </w:rPr>
        <w:t xml:space="preserve">леизъявлении работника распорядиться начисленной заработной платой </w:t>
      </w:r>
      <w:r>
        <w:rPr>
          <w:sz w:val="28"/>
          <w:szCs w:val="28"/>
        </w:rPr>
        <w:t xml:space="preserve">(письма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 xml:space="preserve">от 10.10.2019 </w:t>
        </w:r>
        <w:r>
          <w:rPr>
            <w:rStyle w:val="a3"/>
            <w:color w:val="auto"/>
            <w:sz w:val="28"/>
            <w:szCs w:val="28"/>
            <w:u w:val="none"/>
            <w:lang w:val="ru-RU"/>
          </w:rPr>
          <w:t xml:space="preserve">    </w:t>
        </w:r>
        <w:r>
          <w:rPr>
            <w:rStyle w:val="a3"/>
            <w:color w:val="auto"/>
            <w:sz w:val="28"/>
            <w:szCs w:val="28"/>
            <w:u w:val="none"/>
            <w:lang w:val="ru-RU"/>
          </w:rPr>
          <w:t>№</w:t>
        </w:r>
        <w:r>
          <w:rPr>
            <w:rStyle w:val="a3"/>
            <w:color w:val="auto"/>
            <w:sz w:val="28"/>
            <w:szCs w:val="28"/>
            <w:u w:val="none"/>
          </w:rPr>
          <w:t xml:space="preserve"> ПГ/25776-6-1</w:t>
        </w:r>
      </w:hyperlink>
      <w:r>
        <w:rPr>
          <w:sz w:val="28"/>
          <w:szCs w:val="28"/>
        </w:rPr>
        <w:t xml:space="preserve">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 xml:space="preserve">от 16.10.2019 </w:t>
        </w:r>
        <w:r>
          <w:rPr>
            <w:rStyle w:val="a3"/>
            <w:color w:val="auto"/>
            <w:sz w:val="28"/>
            <w:szCs w:val="28"/>
            <w:u w:val="none"/>
            <w:lang w:val="ru-RU"/>
          </w:rPr>
          <w:t>№</w:t>
        </w:r>
        <w:r>
          <w:rPr>
            <w:rStyle w:val="a3"/>
            <w:color w:val="auto"/>
            <w:sz w:val="28"/>
            <w:szCs w:val="28"/>
            <w:u w:val="none"/>
          </w:rPr>
          <w:t xml:space="preserve"> ТЗ/5985-6-1</w:t>
        </w:r>
      </w:hyperlink>
      <w:r>
        <w:rPr>
          <w:sz w:val="28"/>
          <w:szCs w:val="28"/>
        </w:rPr>
        <w:t xml:space="preserve">,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от 07.10.2019</w:t>
        </w:r>
        <w:r>
          <w:rPr>
            <w:rStyle w:val="a3"/>
            <w:color w:val="auto"/>
            <w:sz w:val="28"/>
            <w:szCs w:val="28"/>
            <w:u w:val="none"/>
            <w:lang w:val="ru-RU"/>
          </w:rPr>
          <w:t xml:space="preserve">            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color w:val="auto"/>
            <w:sz w:val="28"/>
            <w:szCs w:val="28"/>
            <w:u w:val="none"/>
            <w:lang w:val="ru-RU"/>
          </w:rPr>
          <w:t>№</w:t>
        </w:r>
        <w:r>
          <w:rPr>
            <w:rStyle w:val="a3"/>
            <w:color w:val="auto"/>
            <w:sz w:val="28"/>
            <w:szCs w:val="28"/>
            <w:u w:val="none"/>
          </w:rPr>
          <w:t xml:space="preserve"> ПГ/25778-6-1</w:t>
        </w:r>
      </w:hyperlink>
      <w:r>
        <w:rPr>
          <w:sz w:val="28"/>
          <w:szCs w:val="28"/>
        </w:rPr>
        <w:t xml:space="preserve">). Аналогичный подход можно проследить в некоторых судебных решениях (например, определение ВС Республики Саха (Якутия) </w:t>
      </w:r>
      <w:hyperlink r:id="rId8" w:anchor="/document/311382631/" w:tgtFrame="https://base.garant.ru/57401942/_blank" w:history="1">
        <w:r>
          <w:rPr>
            <w:rStyle w:val="a3"/>
            <w:color w:val="auto"/>
            <w:sz w:val="28"/>
            <w:szCs w:val="28"/>
            <w:u w:val="none"/>
          </w:rPr>
          <w:t xml:space="preserve">от 30.10.2019 </w:t>
        </w:r>
        <w:r>
          <w:rPr>
            <w:rStyle w:val="a3"/>
            <w:color w:val="auto"/>
            <w:sz w:val="28"/>
            <w:szCs w:val="28"/>
            <w:u w:val="none"/>
            <w:lang w:val="ru-RU"/>
          </w:rPr>
          <w:t>№</w:t>
        </w:r>
        <w:r>
          <w:rPr>
            <w:rStyle w:val="a3"/>
            <w:color w:val="auto"/>
            <w:sz w:val="28"/>
            <w:szCs w:val="28"/>
            <w:u w:val="none"/>
          </w:rPr>
          <w:t> </w:t>
        </w:r>
        <w:r>
          <w:rPr>
            <w:rStyle w:val="a3"/>
            <w:color w:val="auto"/>
            <w:sz w:val="28"/>
            <w:szCs w:val="28"/>
            <w:u w:val="none"/>
          </w:rPr>
          <w:t>33-3503/2019</w:t>
        </w:r>
      </w:hyperlink>
      <w:r>
        <w:rPr>
          <w:sz w:val="28"/>
          <w:szCs w:val="28"/>
        </w:rPr>
        <w:t>).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000000" w:rsidRDefault="00F85C2E">
      <w:pPr>
        <w:pStyle w:val="a5"/>
        <w:jc w:val="both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Из судебной практики</w:t>
      </w:r>
    </w:p>
    <w:p w:rsidR="00000000" w:rsidRDefault="00F85C2E">
      <w:pPr>
        <w:pStyle w:val="1"/>
        <w:jc w:val="both"/>
        <w:rPr>
          <w:rFonts w:ascii="Times New Roman" w:hAnsi="Times New Roman" w:hint="default"/>
          <w:b w:val="0"/>
          <w:bCs w:val="0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lang w:val="ru-RU"/>
        </w:rPr>
        <w:t>ВС</w:t>
      </w:r>
      <w:r>
        <w:rPr>
          <w:rFonts w:ascii="Times New Roman" w:hAnsi="Times New Roman" w:hint="default"/>
          <w:sz w:val="28"/>
          <w:szCs w:val="28"/>
          <w:lang w:val="ru-RU"/>
        </w:rPr>
        <w:t xml:space="preserve"> РФ Определением от 21.08.2023 № 309-ЭС23-5380 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 xml:space="preserve">(по делу № </w:t>
      </w:r>
      <w:r>
        <w:rPr>
          <w:rFonts w:ascii="Times New Roman" w:hAnsi="Times New Roman" w:hint="default"/>
          <w:b w:val="0"/>
          <w:bCs w:val="0"/>
          <w:kern w:val="0"/>
          <w:sz w:val="28"/>
          <w:szCs w:val="28"/>
          <w:lang w:bidi="ar"/>
        </w:rPr>
        <w:t>А47-10968/2021</w:t>
      </w:r>
      <w:r>
        <w:rPr>
          <w:rFonts w:ascii="Times New Roman" w:hAnsi="Times New Roman" w:hint="default"/>
          <w:b w:val="0"/>
          <w:bCs w:val="0"/>
          <w:kern w:val="0"/>
          <w:sz w:val="28"/>
          <w:szCs w:val="28"/>
          <w:lang w:val="ru-RU" w:bidi="ar"/>
        </w:rPr>
        <w:t xml:space="preserve">) </w:t>
      </w:r>
      <w:r>
        <w:rPr>
          <w:rFonts w:ascii="Times New Roman" w:hAnsi="Times New Roman" w:hint="default"/>
          <w:sz w:val="28"/>
          <w:szCs w:val="28"/>
        </w:rPr>
        <w:t>разрешил платить пособие по уходу за ребенком и зарплату</w:t>
      </w:r>
      <w:r>
        <w:rPr>
          <w:rFonts w:ascii="Times New Roman" w:hAnsi="Times New Roman" w:hint="default"/>
          <w:sz w:val="28"/>
          <w:szCs w:val="28"/>
          <w:lang w:val="ru-RU"/>
        </w:rPr>
        <w:t>, если родитель ранее раб</w:t>
      </w:r>
      <w:r>
        <w:rPr>
          <w:rFonts w:ascii="Times New Roman" w:hAnsi="Times New Roman" w:hint="default"/>
          <w:sz w:val="28"/>
          <w:szCs w:val="28"/>
          <w:lang w:val="ru-RU"/>
        </w:rPr>
        <w:t xml:space="preserve">отал на полставки.                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>ИП 1 февраля принял женщину на работу на полставки. 26 февраля ей дали отпуск по уходу за ребенком, и она продолжила работать неполный день. Работница получила зарплату за февраль и март, а также пособие по уходу за ребенк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>ом за март от ФСС по сведениям, которые подал ИП.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 xml:space="preserve">Позднее при камеральной проверке 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 xml:space="preserve">ФСС потребовал 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>от ИП возместить излишние расходы. По мнению ФСС, размер заработка после наступления страхового случая не изменился, утраты дохода нет. Пособие стало дополнит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>ельным материальным стимулированием работницы.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>ВС РФ с таким подходом не согласился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 xml:space="preserve"> и указал, что н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 xml:space="preserve">и в 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>ТК РФ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 xml:space="preserve"> ни в </w:t>
      </w:r>
      <w:hyperlink r:id="rId9" w:history="1">
        <w:r>
          <w:rPr>
            <w:rStyle w:val="a3"/>
            <w:rFonts w:ascii="Times New Roman" w:hAnsi="Times New Roman" w:hint="default"/>
            <w:b w:val="0"/>
            <w:bCs w:val="0"/>
            <w:color w:val="auto"/>
            <w:sz w:val="28"/>
            <w:szCs w:val="28"/>
            <w:u w:val="none"/>
          </w:rPr>
          <w:t>Законе</w:t>
        </w:r>
      </w:hyperlink>
      <w:r>
        <w:rPr>
          <w:rFonts w:ascii="Times New Roman" w:hAnsi="Times New Roman" w:hint="default"/>
          <w:b w:val="0"/>
          <w:bCs w:val="0"/>
          <w:sz w:val="28"/>
          <w:szCs w:val="28"/>
        </w:rPr>
        <w:t xml:space="preserve"> о страх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 xml:space="preserve">овании на случай нетрудоспособности </w:t>
      </w:r>
      <w:hyperlink r:id="rId10" w:history="1">
        <w:r>
          <w:rPr>
            <w:rStyle w:val="a3"/>
            <w:rFonts w:ascii="Times New Roman" w:hAnsi="Times New Roman" w:hint="default"/>
            <w:b w:val="0"/>
            <w:bCs w:val="0"/>
            <w:color w:val="auto"/>
            <w:sz w:val="28"/>
            <w:szCs w:val="28"/>
            <w:u w:val="none"/>
          </w:rPr>
          <w:t>нет положений</w:t>
        </w:r>
      </w:hyperlink>
      <w:r>
        <w:rPr>
          <w:rFonts w:ascii="Times New Roman" w:hAnsi="Times New Roman" w:hint="default"/>
          <w:b w:val="0"/>
          <w:bCs w:val="0"/>
          <w:sz w:val="28"/>
          <w:szCs w:val="28"/>
        </w:rPr>
        <w:t xml:space="preserve"> о том, что для получения пособия застрахованный перед уходом в отпуск дол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>жен работать на полную ставку. Нет требований и о том, чтобы до ухода в отпуск застрахованное лицо работало.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 xml:space="preserve">                                                         </w:t>
      </w:r>
      <w:hyperlink r:id="rId11" w:history="1">
        <w:r>
          <w:rPr>
            <w:rStyle w:val="a3"/>
            <w:rFonts w:ascii="Times New Roman" w:hAnsi="Times New Roman" w:hint="default"/>
            <w:b w:val="0"/>
            <w:bCs w:val="0"/>
            <w:color w:val="auto"/>
            <w:sz w:val="28"/>
            <w:szCs w:val="28"/>
            <w:u w:val="none"/>
          </w:rPr>
          <w:t>Условия</w:t>
        </w:r>
      </w:hyperlink>
      <w:r>
        <w:rPr>
          <w:rFonts w:ascii="Times New Roman" w:hAnsi="Times New Roman" w:hint="default"/>
          <w:b w:val="0"/>
          <w:bCs w:val="0"/>
          <w:sz w:val="28"/>
          <w:szCs w:val="28"/>
        </w:rPr>
        <w:t xml:space="preserve"> для получения пособия в данной ситуации выполнены: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>у женщины есть ребенок в возрасте до 1,5 лет;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>она работает на 0,5 ставки и ухаживает за ребенком.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 xml:space="preserve">                                                         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>Кром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 xml:space="preserve">е того, зарплата работницы на условиях неполного рабочего времени меньше пособия. Поэтому лишение пособия </w:t>
      </w:r>
      <w:hyperlink r:id="rId12" w:history="1">
        <w:r>
          <w:rPr>
            <w:rStyle w:val="a3"/>
            <w:rFonts w:ascii="Times New Roman" w:hAnsi="Times New Roman" w:hint="default"/>
            <w:b w:val="0"/>
            <w:bCs w:val="0"/>
            <w:color w:val="auto"/>
            <w:sz w:val="28"/>
            <w:szCs w:val="28"/>
            <w:u w:val="none"/>
          </w:rPr>
          <w:t>снижа</w:t>
        </w:r>
        <w:r>
          <w:rPr>
            <w:rStyle w:val="a3"/>
            <w:rFonts w:ascii="Times New Roman" w:hAnsi="Times New Roman" w:hint="default"/>
            <w:b w:val="0"/>
            <w:bCs w:val="0"/>
            <w:color w:val="auto"/>
            <w:sz w:val="28"/>
            <w:szCs w:val="28"/>
            <w:u w:val="none"/>
            <w:lang w:val="ru-RU"/>
          </w:rPr>
          <w:t>е</w:t>
        </w:r>
        <w:r>
          <w:rPr>
            <w:rStyle w:val="a3"/>
            <w:rFonts w:ascii="Times New Roman" w:hAnsi="Times New Roman" w:hint="default"/>
            <w:b w:val="0"/>
            <w:bCs w:val="0"/>
            <w:color w:val="auto"/>
            <w:sz w:val="28"/>
            <w:szCs w:val="28"/>
            <w:u w:val="none"/>
          </w:rPr>
          <w:t>т</w:t>
        </w:r>
      </w:hyperlink>
      <w:r>
        <w:rPr>
          <w:rFonts w:ascii="Times New Roman" w:hAnsi="Times New Roman" w:hint="default"/>
          <w:b w:val="0"/>
          <w:bCs w:val="0"/>
          <w:sz w:val="28"/>
          <w:szCs w:val="28"/>
        </w:rPr>
        <w:t xml:space="preserve"> уровень е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 xml:space="preserve">е материального обеспечения. Фонд </w:t>
      </w:r>
      <w:hyperlink r:id="rId13" w:history="1">
        <w:r>
          <w:rPr>
            <w:rStyle w:val="a3"/>
            <w:rFonts w:ascii="Times New Roman" w:hAnsi="Times New Roman" w:hint="default"/>
            <w:b w:val="0"/>
            <w:bCs w:val="0"/>
            <w:color w:val="auto"/>
            <w:sz w:val="28"/>
            <w:szCs w:val="28"/>
            <w:u w:val="none"/>
          </w:rPr>
          <w:t>не доказал</w:t>
        </w:r>
      </w:hyperlink>
      <w:r>
        <w:rPr>
          <w:rFonts w:ascii="Times New Roman" w:hAnsi="Times New Roman" w:hint="default"/>
          <w:b w:val="0"/>
          <w:bCs w:val="0"/>
          <w:sz w:val="28"/>
          <w:szCs w:val="28"/>
        </w:rPr>
        <w:t>, что женщина не осуществляла уход за ребенком, а ИП злоупотребил своим право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>м.</w:t>
      </w:r>
    </w:p>
    <w:p w:rsidR="00000000" w:rsidRDefault="00F85C2E">
      <w:pPr>
        <w:jc w:val="both"/>
        <w:rPr>
          <w:rFonts w:ascii="Times New Roman" w:hAnsi="Times New Roman"/>
          <w:b/>
          <w:bCs/>
          <w:sz w:val="28"/>
          <w:szCs w:val="28"/>
          <w:lang w:val="ru-RU" w:bidi="ar"/>
        </w:rPr>
      </w:pPr>
      <w:hyperlink r:id="rId14" w:history="1">
        <w:r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Определение</w:t>
        </w:r>
        <w:r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  <w:lang w:val="ru-RU"/>
          </w:rPr>
          <w:t>м</w:t>
        </w:r>
        <w:r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 xml:space="preserve"> 3-го КСОЮ от 09.08.2023 </w:t>
        </w:r>
        <w:r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  <w:lang w:val="ru-RU"/>
          </w:rPr>
          <w:t>№</w:t>
        </w:r>
        <w:r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 xml:space="preserve"> 88-16850/2023</w:t>
        </w:r>
      </w:hyperlink>
      <w:r>
        <w:rPr>
          <w:rFonts w:ascii="Times New Roman" w:hAnsi="Times New Roman"/>
          <w:b/>
          <w:bCs/>
          <w:sz w:val="28"/>
          <w:szCs w:val="28"/>
          <w:lang w:val="ru-RU" w:bidi="ar"/>
        </w:rPr>
        <w:t xml:space="preserve"> определен вид простоя.</w:t>
      </w:r>
    </w:p>
    <w:p w:rsidR="00000000" w:rsidRDefault="00F85C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прекратили из-за убыточности и</w:t>
      </w:r>
      <w:r>
        <w:rPr>
          <w:rFonts w:ascii="Times New Roman" w:hAnsi="Times New Roman"/>
          <w:sz w:val="28"/>
          <w:szCs w:val="28"/>
        </w:rPr>
        <w:t xml:space="preserve"> банкротства</w:t>
      </w:r>
      <w:r>
        <w:rPr>
          <w:rFonts w:ascii="Times New Roman" w:hAnsi="Times New Roman"/>
          <w:sz w:val="28"/>
          <w:szCs w:val="28"/>
          <w:lang w:val="ru-RU"/>
        </w:rPr>
        <w:t xml:space="preserve"> - р</w:t>
      </w:r>
      <w:r>
        <w:rPr>
          <w:rFonts w:ascii="Times New Roman" w:hAnsi="Times New Roman"/>
          <w:sz w:val="28"/>
          <w:szCs w:val="28"/>
        </w:rPr>
        <w:t>аботник хотел в суде взыскать долг по зарплате. Представил расчетные листки с окладом и ежемесячной премией, равной ему.</w:t>
      </w:r>
    </w:p>
    <w:p w:rsidR="00000000" w:rsidRDefault="00F85C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Суды учли, что из-за убыточности на предприятии </w:t>
      </w:r>
      <w:hyperlink r:id="rId1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остановили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производство и объявили простой. Затем организацию признали банкротом. </w:t>
      </w:r>
      <w:r>
        <w:rPr>
          <w:rFonts w:ascii="Times New Roman" w:hAnsi="Times New Roman"/>
          <w:sz w:val="28"/>
          <w:szCs w:val="28"/>
        </w:rPr>
        <w:lastRenderedPageBreak/>
        <w:t>Три</w:t>
      </w:r>
      <w:r>
        <w:rPr>
          <w:rFonts w:ascii="Times New Roman" w:hAnsi="Times New Roman"/>
          <w:sz w:val="28"/>
          <w:szCs w:val="28"/>
          <w:lang w:val="ru-RU"/>
        </w:rPr>
        <w:t xml:space="preserve"> судебные</w:t>
      </w:r>
      <w:r>
        <w:rPr>
          <w:rFonts w:ascii="Times New Roman" w:hAnsi="Times New Roman"/>
          <w:sz w:val="28"/>
          <w:szCs w:val="28"/>
        </w:rPr>
        <w:t xml:space="preserve"> инстанции </w:t>
      </w:r>
      <w:hyperlink r:id="rId1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согласились</w:t>
        </w:r>
      </w:hyperlink>
      <w:r>
        <w:rPr>
          <w:rFonts w:ascii="Times New Roman" w:hAnsi="Times New Roman"/>
          <w:sz w:val="28"/>
          <w:szCs w:val="28"/>
        </w:rPr>
        <w:t>, что простой возник по причинам, не зависящим от сторон трудового договора.</w:t>
      </w:r>
    </w:p>
    <w:p w:rsidR="00000000" w:rsidRDefault="00F85C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компании продолжалась лишь работа, которая относилась к конкурсному производству. Истец не мог выполнять ее в силу д</w:t>
      </w:r>
      <w:r>
        <w:rPr>
          <w:rFonts w:ascii="Times New Roman" w:hAnsi="Times New Roman"/>
          <w:sz w:val="28"/>
          <w:szCs w:val="28"/>
        </w:rPr>
        <w:t xml:space="preserve">олжности. Не было оснований начислять ему премии и надбавки. Суды </w:t>
      </w:r>
      <w:hyperlink r:id="rId1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взыскали</w:t>
        </w:r>
      </w:hyperlink>
      <w:r>
        <w:rPr>
          <w:rFonts w:ascii="Times New Roman" w:hAnsi="Times New Roman"/>
          <w:sz w:val="28"/>
          <w:szCs w:val="28"/>
        </w:rPr>
        <w:t xml:space="preserve"> долг по зарплате исходя из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2/3 оклада</w:t>
        </w:r>
      </w:hyperlink>
      <w:r>
        <w:rPr>
          <w:rFonts w:ascii="Times New Roman" w:hAnsi="Times New Roman"/>
          <w:sz w:val="28"/>
          <w:szCs w:val="28"/>
        </w:rPr>
        <w:t>, а не среднего заработка.</w:t>
      </w:r>
    </w:p>
    <w:p w:rsidR="00000000" w:rsidRDefault="00F85C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практике бывают случаи, когда при банкротстве </w:t>
      </w:r>
      <w:hyperlink r:id="rId1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объявляют</w:t>
        </w:r>
      </w:hyperlink>
      <w:r>
        <w:rPr>
          <w:rFonts w:ascii="Times New Roman" w:hAnsi="Times New Roman"/>
          <w:sz w:val="28"/>
          <w:szCs w:val="28"/>
        </w:rPr>
        <w:t xml:space="preserve"> простой по вине работодателя. Но есть и примеры, когда такую приостановку </w:t>
      </w:r>
      <w:hyperlink r:id="rId2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считают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возникшей</w:t>
        </w:r>
      </w:hyperlink>
      <w:r>
        <w:rPr>
          <w:rFonts w:ascii="Times New Roman" w:hAnsi="Times New Roman"/>
          <w:sz w:val="28"/>
          <w:szCs w:val="28"/>
        </w:rPr>
        <w:t xml:space="preserve"> по причинам, не зависящим от сторон.</w:t>
      </w:r>
    </w:p>
    <w:p w:rsidR="00000000" w:rsidRDefault="00F85C2E">
      <w:pPr>
        <w:pStyle w:val="1"/>
        <w:jc w:val="both"/>
        <w:rPr>
          <w:rFonts w:ascii="Times New Roman" w:hAnsi="Times New Roman" w:hint="default"/>
          <w:b w:val="0"/>
          <w:bCs w:val="0"/>
          <w:sz w:val="28"/>
          <w:szCs w:val="28"/>
        </w:rPr>
      </w:pPr>
      <w:hyperlink r:id="rId21" w:history="1">
        <w:r>
          <w:rPr>
            <w:rStyle w:val="a3"/>
            <w:rFonts w:ascii="Times New Roman" w:hAnsi="Times New Roman" w:hint="default"/>
            <w:color w:val="auto"/>
            <w:sz w:val="28"/>
            <w:szCs w:val="28"/>
            <w:u w:val="none"/>
          </w:rPr>
          <w:t>Постановление</w:t>
        </w:r>
        <w:r>
          <w:rPr>
            <w:rStyle w:val="a3"/>
            <w:rFonts w:ascii="Times New Roman" w:hAnsi="Times New Roman" w:hint="default"/>
            <w:color w:val="auto"/>
            <w:sz w:val="28"/>
            <w:szCs w:val="28"/>
            <w:u w:val="none"/>
            <w:lang w:val="ru-RU"/>
          </w:rPr>
          <w:t xml:space="preserve"> Третьего ар</w:t>
        </w:r>
        <w:r>
          <w:rPr>
            <w:rStyle w:val="a3"/>
            <w:rFonts w:ascii="Times New Roman" w:hAnsi="Times New Roman" w:hint="default"/>
            <w:color w:val="auto"/>
            <w:sz w:val="28"/>
            <w:szCs w:val="28"/>
            <w:u w:val="none"/>
            <w:lang w:val="ru-RU"/>
          </w:rPr>
          <w:t xml:space="preserve">битражного апелляционного суда </w:t>
        </w:r>
        <w:r>
          <w:rPr>
            <w:rStyle w:val="a3"/>
            <w:rFonts w:ascii="Times New Roman" w:hAnsi="Times New Roman" w:hint="default"/>
            <w:color w:val="auto"/>
            <w:sz w:val="28"/>
            <w:szCs w:val="28"/>
            <w:u w:val="none"/>
          </w:rPr>
          <w:t xml:space="preserve"> от 14.08.2023 по делу </w:t>
        </w:r>
        <w:r>
          <w:rPr>
            <w:rStyle w:val="a3"/>
            <w:rFonts w:ascii="Times New Roman" w:hAnsi="Times New Roman" w:hint="default"/>
            <w:color w:val="auto"/>
            <w:sz w:val="28"/>
            <w:szCs w:val="28"/>
            <w:u w:val="none"/>
            <w:lang w:val="ru-RU"/>
          </w:rPr>
          <w:t>№</w:t>
        </w:r>
        <w:r>
          <w:rPr>
            <w:rStyle w:val="a3"/>
            <w:rFonts w:ascii="Times New Roman" w:hAnsi="Times New Roman" w:hint="default"/>
            <w:color w:val="auto"/>
            <w:sz w:val="28"/>
            <w:szCs w:val="28"/>
            <w:u w:val="none"/>
          </w:rPr>
          <w:t xml:space="preserve"> А33-3840/2023</w:t>
        </w:r>
      </w:hyperlink>
      <w:r>
        <w:rPr>
          <w:rFonts w:ascii="Times New Roman" w:hAnsi="Times New Roman" w:hint="default"/>
          <w:kern w:val="0"/>
          <w:sz w:val="28"/>
          <w:szCs w:val="28"/>
          <w:lang w:val="ru-RU" w:bidi="ar"/>
        </w:rPr>
        <w:t xml:space="preserve"> </w:t>
      </w:r>
      <w:r>
        <w:rPr>
          <w:rFonts w:ascii="Times New Roman" w:hAnsi="Times New Roman" w:hint="default"/>
          <w:sz w:val="28"/>
          <w:szCs w:val="28"/>
        </w:rPr>
        <w:t>отмен</w:t>
      </w:r>
      <w:r>
        <w:rPr>
          <w:rFonts w:ascii="Times New Roman" w:hAnsi="Times New Roman" w:hint="default"/>
          <w:sz w:val="28"/>
          <w:szCs w:val="28"/>
          <w:lang w:val="ru-RU"/>
        </w:rPr>
        <w:t>ен</w:t>
      </w:r>
      <w:r>
        <w:rPr>
          <w:rFonts w:ascii="Times New Roman" w:hAnsi="Times New Roman" w:hint="default"/>
          <w:sz w:val="28"/>
          <w:szCs w:val="28"/>
        </w:rPr>
        <w:t xml:space="preserve"> штраф за опоздание с исправлением опечатки в отчестве работника</w:t>
      </w:r>
      <w:r>
        <w:rPr>
          <w:rFonts w:ascii="Times New Roman" w:hAnsi="Times New Roman" w:hint="default"/>
          <w:sz w:val="28"/>
          <w:szCs w:val="28"/>
          <w:lang w:val="ru-RU"/>
        </w:rPr>
        <w:t xml:space="preserve"> в отчетности СЗВ-М.         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>Страховател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 xml:space="preserve">ем была вовремя сдана 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>отчетность по персонифицированному учету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 xml:space="preserve"> СЗВ-М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>ПФР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 xml:space="preserve">обнаружил, что в отчестве одного сотрудника есть опечатка — задвоилась буква. Дополняющую форму страхователь 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>направил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 xml:space="preserve"> позже 5 дней, за что фонд его оштрафовал. Однако суд 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>посчитал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 xml:space="preserve"> такой подход незаконным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 xml:space="preserve">: законом не предусмотрена ответственность 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>за нарушен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>ие сроков исправления ошибок, о которых страхователь узнает от фонда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 xml:space="preserve">; 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 xml:space="preserve">Во-вторых, опечатку в букву </w:t>
      </w:r>
      <w:hyperlink r:id="rId22" w:history="1">
        <w:r>
          <w:rPr>
            <w:rStyle w:val="a3"/>
            <w:rFonts w:ascii="Times New Roman" w:hAnsi="Times New Roman" w:hint="default"/>
            <w:b w:val="0"/>
            <w:bCs w:val="0"/>
            <w:color w:val="auto"/>
            <w:sz w:val="28"/>
            <w:szCs w:val="28"/>
            <w:u w:val="none"/>
          </w:rPr>
          <w:t>нельзя считать</w:t>
        </w:r>
      </w:hyperlink>
      <w:r>
        <w:rPr>
          <w:rFonts w:ascii="Times New Roman" w:hAnsi="Times New Roman" w:hint="default"/>
          <w:b w:val="0"/>
          <w:bCs w:val="0"/>
          <w:sz w:val="28"/>
          <w:szCs w:val="28"/>
        </w:rPr>
        <w:t xml:space="preserve"> недосто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>верными сведениями, поскольку проверяющие могли идентифицировать застрахованное лицо и произвести учет сведений о нем. Фонд не доказал, что такая ошибка имела последствия и он сомневался в личности застрахованного.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 xml:space="preserve">К такому же выводу ранее 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 xml:space="preserve">приходил 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>и А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>рбит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>ражный суд</w:t>
      </w:r>
      <w:r>
        <w:rPr>
          <w:rFonts w:ascii="Times New Roman" w:hAnsi="Times New Roman" w:hint="default"/>
          <w:b w:val="0"/>
          <w:bCs w:val="0"/>
          <w:sz w:val="28"/>
          <w:szCs w:val="28"/>
        </w:rPr>
        <w:t xml:space="preserve"> Западно-Сибирского округа.</w:t>
      </w:r>
    </w:p>
    <w:p w:rsidR="00000000" w:rsidRDefault="00F85C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ерховный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уд</w:t>
      </w:r>
      <w:r>
        <w:rPr>
          <w:rFonts w:ascii="Times New Roman" w:hAnsi="Times New Roman"/>
          <w:b/>
          <w:bCs/>
          <w:sz w:val="28"/>
          <w:szCs w:val="28"/>
        </w:rPr>
        <w:t xml:space="preserve"> РФ включил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27.04.2022</w:t>
      </w:r>
      <w:r>
        <w:rPr>
          <w:rFonts w:ascii="Times New Roman" w:hAnsi="Times New Roman"/>
          <w:b/>
          <w:bCs/>
          <w:sz w:val="28"/>
          <w:szCs w:val="28"/>
        </w:rPr>
        <w:t xml:space="preserve"> в Обзор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практики рассмотрение судами дел по спорам, связанным с заключением трудового договора</w:t>
      </w:r>
      <w:r>
        <w:rPr>
          <w:rFonts w:ascii="Times New Roman" w:hAnsi="Times New Roman"/>
          <w:sz w:val="28"/>
          <w:szCs w:val="28"/>
          <w:lang w:val="ru-RU"/>
        </w:rPr>
        <w:t xml:space="preserve"> ситуацию</w:t>
      </w:r>
      <w:r>
        <w:rPr>
          <w:rFonts w:ascii="Times New Roman" w:hAnsi="Times New Roman"/>
          <w:sz w:val="28"/>
          <w:szCs w:val="28"/>
        </w:rPr>
        <w:t xml:space="preserve">, в которой с </w:t>
      </w:r>
      <w:r>
        <w:rPr>
          <w:rFonts w:ascii="Times New Roman" w:hAnsi="Times New Roman"/>
          <w:sz w:val="28"/>
          <w:szCs w:val="28"/>
          <w:lang w:val="ru-RU"/>
        </w:rPr>
        <w:t>работником</w:t>
      </w:r>
      <w:r>
        <w:rPr>
          <w:rFonts w:ascii="Times New Roman" w:hAnsi="Times New Roman"/>
          <w:sz w:val="28"/>
          <w:szCs w:val="28"/>
        </w:rPr>
        <w:t xml:space="preserve"> неоднократно заключали трудовые договоры и каждый раз </w:t>
      </w:r>
      <w:r>
        <w:rPr>
          <w:rFonts w:ascii="Times New Roman" w:hAnsi="Times New Roman"/>
          <w:sz w:val="28"/>
          <w:szCs w:val="28"/>
        </w:rPr>
        <w:t xml:space="preserve">устанавливали новый испытательный срок. Суды </w:t>
      </w:r>
      <w:r>
        <w:rPr>
          <w:rFonts w:ascii="Times New Roman" w:hAnsi="Times New Roman"/>
          <w:sz w:val="28"/>
          <w:szCs w:val="28"/>
          <w:lang w:val="ru-RU"/>
        </w:rPr>
        <w:t xml:space="preserve">сочли это </w:t>
      </w:r>
      <w:r>
        <w:rPr>
          <w:rFonts w:ascii="Times New Roman" w:hAnsi="Times New Roman"/>
          <w:sz w:val="28"/>
          <w:szCs w:val="28"/>
        </w:rPr>
        <w:t>злоупотреб</w:t>
      </w:r>
      <w:r>
        <w:rPr>
          <w:rFonts w:ascii="Times New Roman" w:hAnsi="Times New Roman"/>
          <w:sz w:val="28"/>
          <w:szCs w:val="28"/>
          <w:lang w:val="ru-RU"/>
        </w:rPr>
        <w:t>лением</w:t>
      </w:r>
      <w:r>
        <w:rPr>
          <w:rFonts w:ascii="Times New Roman" w:hAnsi="Times New Roman"/>
          <w:sz w:val="28"/>
          <w:szCs w:val="28"/>
        </w:rPr>
        <w:t xml:space="preserve"> правом. </w:t>
      </w:r>
      <w:r>
        <w:rPr>
          <w:rFonts w:ascii="Times New Roman" w:hAnsi="Times New Roman"/>
          <w:sz w:val="28"/>
          <w:szCs w:val="28"/>
          <w:lang w:val="ru-RU"/>
        </w:rPr>
        <w:t xml:space="preserve">ВС РФ отметил, что </w:t>
      </w:r>
      <w:r>
        <w:rPr>
          <w:rFonts w:ascii="Times New Roman" w:hAnsi="Times New Roman"/>
          <w:sz w:val="28"/>
          <w:szCs w:val="28"/>
        </w:rPr>
        <w:t xml:space="preserve">такие действия нарушают права </w:t>
      </w:r>
      <w:r>
        <w:rPr>
          <w:rFonts w:ascii="Times New Roman" w:hAnsi="Times New Roman"/>
          <w:sz w:val="28"/>
          <w:szCs w:val="28"/>
          <w:lang w:val="ru-RU"/>
        </w:rPr>
        <w:t>работника</w:t>
      </w:r>
      <w:r>
        <w:rPr>
          <w:rFonts w:ascii="Times New Roman" w:hAnsi="Times New Roman"/>
          <w:sz w:val="28"/>
          <w:szCs w:val="28"/>
        </w:rPr>
        <w:t xml:space="preserve"> и лишают его гарантии по ограничению срока испытания.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9-й КСОЮ рассматривал случай, когда после незаконного увольнени</w:t>
      </w:r>
      <w:r>
        <w:rPr>
          <w:rFonts w:ascii="Times New Roman" w:hAnsi="Times New Roman"/>
          <w:sz w:val="28"/>
          <w:szCs w:val="28"/>
        </w:rPr>
        <w:t xml:space="preserve">я работника восстановили в должности. </w:t>
      </w:r>
      <w:r>
        <w:rPr>
          <w:rFonts w:ascii="Times New Roman" w:hAnsi="Times New Roman"/>
          <w:sz w:val="28"/>
          <w:szCs w:val="28"/>
          <w:lang w:val="ru-RU"/>
        </w:rPr>
        <w:t>Работодатель заключил с работником допсоглашение, в котором</w:t>
      </w:r>
      <w:r>
        <w:rPr>
          <w:rFonts w:ascii="Times New Roman" w:hAnsi="Times New Roman"/>
          <w:sz w:val="28"/>
          <w:szCs w:val="28"/>
        </w:rPr>
        <w:t xml:space="preserve"> среди проч</w:t>
      </w:r>
      <w:r>
        <w:rPr>
          <w:rFonts w:ascii="Times New Roman" w:hAnsi="Times New Roman"/>
          <w:sz w:val="28"/>
          <w:szCs w:val="28"/>
          <w:lang w:val="ru-RU"/>
        </w:rPr>
        <w:t>их условий</w:t>
      </w:r>
      <w:r>
        <w:rPr>
          <w:rFonts w:ascii="Times New Roman" w:hAnsi="Times New Roman"/>
          <w:sz w:val="28"/>
          <w:szCs w:val="28"/>
        </w:rPr>
        <w:t xml:space="preserve"> указал условие об испытании. Суды</w:t>
      </w:r>
      <w:r>
        <w:rPr>
          <w:rFonts w:ascii="Times New Roman" w:hAnsi="Times New Roman"/>
          <w:sz w:val="28"/>
          <w:szCs w:val="28"/>
          <w:lang w:val="ru-RU"/>
        </w:rPr>
        <w:t xml:space="preserve"> признали незаконным </w:t>
      </w:r>
      <w:r>
        <w:rPr>
          <w:rFonts w:ascii="Times New Roman" w:hAnsi="Times New Roman"/>
          <w:sz w:val="28"/>
          <w:szCs w:val="28"/>
        </w:rPr>
        <w:t>это условие и</w:t>
      </w:r>
      <w:r>
        <w:rPr>
          <w:rFonts w:ascii="Times New Roman" w:hAnsi="Times New Roman"/>
          <w:sz w:val="28"/>
          <w:szCs w:val="28"/>
          <w:lang w:val="ru-RU"/>
        </w:rPr>
        <w:t xml:space="preserve"> взыскали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 работодателя </w:t>
      </w:r>
      <w:r>
        <w:rPr>
          <w:rFonts w:ascii="Times New Roman" w:hAnsi="Times New Roman"/>
          <w:sz w:val="28"/>
          <w:szCs w:val="28"/>
        </w:rPr>
        <w:t>компенсацию морального вреда</w:t>
      </w:r>
      <w:r>
        <w:rPr>
          <w:rFonts w:ascii="Times New Roman" w:hAnsi="Times New Roman"/>
          <w:sz w:val="28"/>
          <w:szCs w:val="28"/>
          <w:lang w:val="ru-RU"/>
        </w:rPr>
        <w:t>, указав на отсут</w:t>
      </w:r>
      <w:r>
        <w:rPr>
          <w:rFonts w:ascii="Times New Roman" w:hAnsi="Times New Roman"/>
          <w:sz w:val="28"/>
          <w:szCs w:val="28"/>
          <w:lang w:val="ru-RU"/>
        </w:rPr>
        <w:t xml:space="preserve">ствие оснований </w:t>
      </w:r>
      <w:r>
        <w:rPr>
          <w:rFonts w:ascii="Times New Roman" w:hAnsi="Times New Roman"/>
          <w:sz w:val="28"/>
          <w:szCs w:val="28"/>
        </w:rPr>
        <w:t xml:space="preserve">проверять соответствие восстановленного </w:t>
      </w:r>
      <w:r>
        <w:rPr>
          <w:rFonts w:ascii="Times New Roman" w:hAnsi="Times New Roman"/>
          <w:sz w:val="28"/>
          <w:szCs w:val="28"/>
          <w:lang w:val="ru-RU"/>
        </w:rPr>
        <w:t>работника</w:t>
      </w:r>
      <w:r>
        <w:rPr>
          <w:rFonts w:ascii="Times New Roman" w:hAnsi="Times New Roman"/>
          <w:sz w:val="28"/>
          <w:szCs w:val="28"/>
        </w:rPr>
        <w:t xml:space="preserve"> поручаемой работе.</w:t>
      </w:r>
    </w:p>
    <w:p w:rsidR="00000000" w:rsidRDefault="00F85C2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000000" w:rsidRDefault="00F85C2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85C2E" w:rsidRDefault="00F85C2E">
      <w:pPr>
        <w:ind w:firstLineChars="1714" w:firstLine="479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Подготовлено по материалам компаний «КонсультантПлюс», «Гарант»</w:t>
      </w:r>
    </w:p>
    <w:sectPr w:rsidR="00F85C2E">
      <w:pgSz w:w="11906" w:h="16838"/>
      <w:pgMar w:top="1440" w:right="906" w:bottom="119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E2"/>
    <w:rsid w:val="007E61E2"/>
    <w:rsid w:val="00F85C2E"/>
    <w:rsid w:val="132E3CEE"/>
    <w:rsid w:val="17845B02"/>
    <w:rsid w:val="1B9D7E84"/>
    <w:rsid w:val="7291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hAnsi="Calibri"/>
      <w:lang w:val="en-US" w:eastAsia="zh-CN"/>
    </w:rPr>
  </w:style>
  <w:style w:type="paragraph" w:styleId="1">
    <w:name w:val="heading 1"/>
    <w:next w:val="a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next w:val="a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pPr>
      <w:spacing w:before="100" w:beforeAutospacing="1" w:after="100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hAnsi="Calibri"/>
      <w:lang w:val="en-US" w:eastAsia="zh-CN"/>
    </w:rPr>
  </w:style>
  <w:style w:type="paragraph" w:styleId="1">
    <w:name w:val="heading 1"/>
    <w:next w:val="a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next w:val="a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pPr>
      <w:spacing w:before="100" w:beforeAutospacing="1" w:after="10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bitr.garant.ru/" TargetMode="External"/><Relationship Id="rId13" Type="http://schemas.openxmlformats.org/officeDocument/2006/relationships/hyperlink" Target="https://ovmf2.consultant.ru/cgi/online.cgi?req=doc;rnd=8187ad95dfa6f6c027db6f6cea0b1e8c;base=arb;n=775858;dst=100036" TargetMode="External"/><Relationship Id="rId18" Type="http://schemas.openxmlformats.org/officeDocument/2006/relationships/hyperlink" Target="https://ovmf2.consultant.ru/cgi/online.cgi?req=doc;rnd=8187ad95dfa6f6c027db6f6cea0b1e8c;base=law;n=433304;dst=7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vmf2.consultant.ru/cgi/online.cgi?req=doc;rnd=8187ad95dfa6f6c027db6f6cea0b1e8c;base=raps003;n=89116;dst=100081" TargetMode="External"/><Relationship Id="rId7" Type="http://schemas.openxmlformats.org/officeDocument/2006/relationships/hyperlink" Target="https://base.garant.ru/72917906/" TargetMode="External"/><Relationship Id="rId12" Type="http://schemas.openxmlformats.org/officeDocument/2006/relationships/hyperlink" Target="https://ovmf2.consultant.ru/cgi/online.cgi?req=doc;rnd=8187ad95dfa6f6c027db6f6cea0b1e8c;base=arb;n=775858;dst=100035" TargetMode="External"/><Relationship Id="rId17" Type="http://schemas.openxmlformats.org/officeDocument/2006/relationships/hyperlink" Target="https://ovmf2.consultant.ru/cgi/online.cgi?req=doc;rnd=8187ad95dfa6f6c027db6f6cea0b1e8c;base=ksoj003;n=94520;dst=1000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vmf2.consultant.ru/cgi/online.cgi?req=doc;rnd=8187ad95dfa6f6c027db6f6cea0b1e8c;base=ksoj003;n=94520;dst=100023" TargetMode="External"/><Relationship Id="rId20" Type="http://schemas.openxmlformats.org/officeDocument/2006/relationships/hyperlink" Target="https://ovmf2.consultant.ru/cgi/online.cgi?req=doc;rnd=8187ad95dfa6f6c027db6f6cea0b1e8c;base=ksoj006;n=55389;dst=100037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2917770/" TargetMode="External"/><Relationship Id="rId11" Type="http://schemas.openxmlformats.org/officeDocument/2006/relationships/hyperlink" Target="https://ovmf2.consultant.ru/cgi/online.cgi?req=doc;rnd=8187ad95dfa6f6c027db6f6cea0b1e8c;base=law;n=443761;dst=17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ase.garant.ru/72917914/" TargetMode="External"/><Relationship Id="rId15" Type="http://schemas.openxmlformats.org/officeDocument/2006/relationships/hyperlink" Target="https://ovmf2.consultant.ru/cgi/online.cgi?req=doc;rnd=8187ad95dfa6f6c027db6f6cea0b1e8c;base=ksoj003;n=94520;dst=10002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vmf2.consultant.ru/cgi/online.cgi?req=doc;rnd=8187ad95dfa6f6c027db6f6cea0b1e8c;base=arb;n=775858;dst=100033" TargetMode="External"/><Relationship Id="rId19" Type="http://schemas.openxmlformats.org/officeDocument/2006/relationships/hyperlink" Target="https://ovmf2.consultant.ru/cgi/online.cgi?req=doc;rnd=8187ad95dfa6f6c027db6f6cea0b1e8c;base=ksoj008;n=96640;dst=100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vmf2.consultant.ru/cgi/online.cgi?req=doc;rnd=8187ad95dfa6f6c027db6f6cea0b1e8c;base=law;n=443761;dst=0" TargetMode="External"/><Relationship Id="rId14" Type="http://schemas.openxmlformats.org/officeDocument/2006/relationships/hyperlink" Target="https://ovmf2.consultant.ru/cgi/online.cgi?req=doc;rnd=8187ad95dfa6f6c027db6f6cea0b1e8c;base=ksoj003;n=94520;dst=100023" TargetMode="External"/><Relationship Id="rId22" Type="http://schemas.openxmlformats.org/officeDocument/2006/relationships/hyperlink" Target="https://ovmf2.consultant.ru/cgi/online.cgi?req=doc;rnd=8187ad95dfa6f6c027db6f6cea0b1e8c;base=raps003;n=89116;dst=100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2023-09-12T13:05:00Z</cp:lastPrinted>
  <dcterms:created xsi:type="dcterms:W3CDTF">2023-09-13T05:26:00Z</dcterms:created>
  <dcterms:modified xsi:type="dcterms:W3CDTF">2023-09-13T05:26:00Z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39358BF38D604D5ABED7FCD6E8BF5963_12</vt:lpwstr>
  </property>
</Properties>
</file>