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75" w:rsidRPr="00485F75" w:rsidRDefault="003D3094" w:rsidP="00485F75">
      <w:pPr>
        <w:pStyle w:val="s1"/>
        <w:jc w:val="both"/>
        <w:rPr>
          <w:b/>
        </w:rPr>
      </w:pPr>
      <w:r w:rsidRPr="00485F75">
        <w:rPr>
          <w:b/>
        </w:rPr>
        <w:fldChar w:fldCharType="begin"/>
      </w:r>
      <w:r w:rsidR="00485F75" w:rsidRPr="00485F75">
        <w:rPr>
          <w:b/>
        </w:rPr>
        <w:instrText xml:space="preserve"> HYPERLINK "https://base.garant.ru/408602749/" </w:instrText>
      </w:r>
      <w:r w:rsidRPr="00485F75">
        <w:rPr>
          <w:b/>
        </w:rPr>
        <w:fldChar w:fldCharType="separate"/>
      </w:r>
      <w:proofErr w:type="gramStart"/>
      <w:r w:rsidR="00485F75">
        <w:rPr>
          <w:rStyle w:val="a3"/>
          <w:b/>
          <w:color w:val="auto"/>
          <w:u w:val="none"/>
        </w:rPr>
        <w:t>Федеральным</w:t>
      </w:r>
      <w:r w:rsidR="00485F75" w:rsidRPr="00485F75">
        <w:rPr>
          <w:rStyle w:val="a3"/>
          <w:b/>
          <w:color w:val="auto"/>
          <w:u w:val="none"/>
        </w:rPr>
        <w:t xml:space="preserve"> закон</w:t>
      </w:r>
      <w:r w:rsidRPr="00485F75">
        <w:rPr>
          <w:b/>
        </w:rPr>
        <w:fldChar w:fldCharType="end"/>
      </w:r>
      <w:r w:rsidR="00485F75">
        <w:rPr>
          <w:b/>
        </w:rPr>
        <w:t>ом от 26.02.2024 № 32-ФЗ</w:t>
      </w:r>
      <w:r w:rsidR="00485F75" w:rsidRPr="00485F75">
        <w:rPr>
          <w:b/>
        </w:rPr>
        <w:t xml:space="preserve"> внесены изменения в </w:t>
      </w:r>
      <w:hyperlink r:id="rId5" w:history="1">
        <w:r w:rsidR="00485F75" w:rsidRPr="00485F75">
          <w:rPr>
            <w:rStyle w:val="a3"/>
            <w:b/>
            <w:color w:val="auto"/>
            <w:u w:val="none"/>
          </w:rPr>
          <w:t>Закон</w:t>
        </w:r>
      </w:hyperlink>
      <w:r w:rsidR="00485F75" w:rsidRPr="00485F75">
        <w:rPr>
          <w:b/>
        </w:rPr>
        <w:t xml:space="preserve"> о некоммерческих организациях (</w:t>
      </w:r>
      <w:r w:rsidR="00485F75">
        <w:rPr>
          <w:b/>
        </w:rPr>
        <w:t xml:space="preserve">Закон о </w:t>
      </w:r>
      <w:r w:rsidR="00485F75" w:rsidRPr="00485F75">
        <w:rPr>
          <w:b/>
        </w:rPr>
        <w:t>НКО).</w:t>
      </w:r>
      <w:proofErr w:type="gramEnd"/>
    </w:p>
    <w:p w:rsidR="00485F75" w:rsidRPr="00485F75" w:rsidRDefault="00485F75" w:rsidP="00485F75">
      <w:pPr>
        <w:pStyle w:val="s1"/>
        <w:jc w:val="both"/>
      </w:pPr>
      <w:r w:rsidRPr="00485F75">
        <w:t xml:space="preserve">В частности, в </w:t>
      </w:r>
      <w:hyperlink r:id="rId6" w:anchor="block_3232" w:history="1">
        <w:r w:rsidRPr="00485F75">
          <w:rPr>
            <w:rStyle w:val="a3"/>
            <w:color w:val="auto"/>
            <w:u w:val="none"/>
          </w:rPr>
          <w:t>ст. 32</w:t>
        </w:r>
      </w:hyperlink>
      <w:r w:rsidRPr="00485F75">
        <w:t xml:space="preserve"> Закона о НКО появилось положение, устанавливающее обязанность НКО размещать свой устав на информационном ресурсе Минюста России в сети «Интернет» в порядке и сроки, определенные Минюстом. </w:t>
      </w:r>
    </w:p>
    <w:p w:rsidR="00485F75" w:rsidRPr="00485F75" w:rsidRDefault="00485F75" w:rsidP="00485F75">
      <w:pPr>
        <w:pStyle w:val="s1"/>
        <w:jc w:val="both"/>
      </w:pPr>
      <w:r w:rsidRPr="00485F75">
        <w:t>Также поправками расширен перечень видов деятельности, при условии осуществления которых социально ориентированным некоммерческим организациям может оказываться поддержка органами гос</w:t>
      </w:r>
      <w:r w:rsidR="005320D9">
        <w:t xml:space="preserve">ударственной </w:t>
      </w:r>
      <w:r w:rsidRPr="00485F75">
        <w:t xml:space="preserve">власти и местного самоуправления. К таковым дополнительно </w:t>
      </w:r>
      <w:hyperlink r:id="rId7" w:anchor="block_21" w:history="1">
        <w:r w:rsidRPr="00485F75">
          <w:rPr>
            <w:rStyle w:val="a3"/>
            <w:color w:val="auto"/>
            <w:u w:val="none"/>
          </w:rPr>
          <w:t>отнесена</w:t>
        </w:r>
      </w:hyperlink>
      <w:r w:rsidRPr="00485F75">
        <w:t xml:space="preserve">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форм устройства детей, оставшихся без попечения родителей, в семью. Кроме того, </w:t>
      </w:r>
      <w:hyperlink r:id="rId8" w:anchor="block_22" w:history="1">
        <w:r w:rsidRPr="00485F75">
          <w:rPr>
            <w:rStyle w:val="a3"/>
            <w:color w:val="auto"/>
            <w:u w:val="none"/>
          </w:rPr>
          <w:t>уточнено</w:t>
        </w:r>
      </w:hyperlink>
      <w:r w:rsidRPr="00485F75">
        <w:t>, что к входящему в этот перечень виду деятельност</w:t>
      </w:r>
      <w:r>
        <w:t>и «</w:t>
      </w:r>
      <w:r w:rsidRPr="00485F75">
        <w:t>охрана окр</w:t>
      </w:r>
      <w:r>
        <w:t>ужающей среды и защита животных»</w:t>
      </w:r>
      <w:r w:rsidRPr="00485F75">
        <w:t xml:space="preserve"> относится</w:t>
      </w:r>
      <w:r w:rsidR="005320D9">
        <w:t>,</w:t>
      </w:r>
      <w:r w:rsidRPr="00485F75">
        <w:t xml:space="preserve"> в том числе</w:t>
      </w:r>
      <w:r w:rsidR="005320D9">
        <w:t>,</w:t>
      </w:r>
      <w:r w:rsidRPr="00485F75">
        <w:t xml:space="preserve"> содержание животных в приютах для животных.</w:t>
      </w:r>
    </w:p>
    <w:p w:rsidR="00485F75" w:rsidRPr="00485F75" w:rsidRDefault="00485F75" w:rsidP="009B1A37">
      <w:pPr>
        <w:pStyle w:val="s1"/>
        <w:jc w:val="both"/>
      </w:pPr>
      <w:r w:rsidRPr="00485F75">
        <w:t xml:space="preserve">Помимо этого поправками из организационно-правовых форм, в которых могут быть созданы социально ориентированные НКО, </w:t>
      </w:r>
      <w:hyperlink r:id="rId9" w:anchor="block_1" w:history="1">
        <w:r w:rsidRPr="00485F75">
          <w:rPr>
            <w:rStyle w:val="a3"/>
            <w:color w:val="auto"/>
            <w:u w:val="none"/>
          </w:rPr>
          <w:t>исключаются</w:t>
        </w:r>
      </w:hyperlink>
      <w:r w:rsidRPr="00485F75">
        <w:t xml:space="preserve"> государственные и муниципальные учреждения</w:t>
      </w:r>
      <w:r w:rsidR="009B1A37">
        <w:t>.</w:t>
      </w:r>
    </w:p>
    <w:p w:rsidR="00430BC5" w:rsidRDefault="00430BC5" w:rsidP="00430BC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430BC5">
        <w:rPr>
          <w:sz w:val="28"/>
          <w:szCs w:val="28"/>
        </w:rPr>
        <w:t>По и</w:t>
      </w:r>
      <w:r>
        <w:rPr>
          <w:sz w:val="28"/>
          <w:szCs w:val="28"/>
        </w:rPr>
        <w:t>нформации</w:t>
      </w:r>
      <w:r w:rsidRPr="00430BC5">
        <w:rPr>
          <w:sz w:val="28"/>
          <w:szCs w:val="28"/>
        </w:rPr>
        <w:t xml:space="preserve"> Министерства цифрового развития, связи и массовых коммуникаций Российско</w:t>
      </w:r>
      <w:r w:rsidR="003C23F1">
        <w:rPr>
          <w:sz w:val="28"/>
          <w:szCs w:val="28"/>
        </w:rPr>
        <w:t>й Федерации от 4 марта 2024 года</w:t>
      </w:r>
      <w:r w:rsidRPr="00430BC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30BC5">
        <w:rPr>
          <w:sz w:val="28"/>
          <w:szCs w:val="28"/>
        </w:rPr>
        <w:t xml:space="preserve">братиться в суд теперь можно через </w:t>
      </w:r>
      <w:proofErr w:type="spellStart"/>
      <w:r w:rsidRPr="00430BC5"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.</w:t>
      </w:r>
    </w:p>
    <w:p w:rsidR="00430BC5" w:rsidRPr="00430BC5" w:rsidRDefault="00430BC5" w:rsidP="00430BC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430BC5" w:rsidRDefault="00430BC5" w:rsidP="00430BC5">
      <w:pPr>
        <w:pStyle w:val="s1"/>
        <w:spacing w:before="0" w:beforeAutospacing="0" w:after="0" w:afterAutospacing="0"/>
        <w:jc w:val="both"/>
      </w:pPr>
      <w:r w:rsidRPr="00430BC5">
        <w:t>Н</w:t>
      </w:r>
      <w:r>
        <w:t>а «</w:t>
      </w:r>
      <w:proofErr w:type="spellStart"/>
      <w:r>
        <w:t>Госуслугах</w:t>
      </w:r>
      <w:proofErr w:type="spellEnd"/>
      <w:r>
        <w:t xml:space="preserve">» заработал сервис «Электронная подача документов в суд», с помощью которого иски, жалобы, ходатайства и другие обращения можно подать </w:t>
      </w:r>
      <w:proofErr w:type="spellStart"/>
      <w:r>
        <w:t>онлайн</w:t>
      </w:r>
      <w:proofErr w:type="spellEnd"/>
      <w:r>
        <w:t>.</w:t>
      </w:r>
    </w:p>
    <w:p w:rsidR="00430BC5" w:rsidRDefault="00430BC5" w:rsidP="00430BC5">
      <w:pPr>
        <w:pStyle w:val="s1"/>
        <w:spacing w:before="0" w:beforeAutospacing="0" w:after="0" w:afterAutospacing="0"/>
        <w:jc w:val="both"/>
      </w:pPr>
      <w:r>
        <w:t>Воспользоваться услугой, отмечается в сообщении, может любой человек старше 18 лет из любой страны: как по своему делу, так и в интересах доверителя. Главное - иметь подтвержденную учетную запись на портале.</w:t>
      </w:r>
    </w:p>
    <w:p w:rsidR="00430BC5" w:rsidRDefault="00430BC5" w:rsidP="00430BC5">
      <w:pPr>
        <w:pStyle w:val="s1"/>
        <w:spacing w:before="0" w:beforeAutospacing="0" w:after="0" w:afterAutospacing="0"/>
        <w:jc w:val="both"/>
      </w:pPr>
    </w:p>
    <w:p w:rsidR="00430BC5" w:rsidRDefault="00430BC5" w:rsidP="00430BC5">
      <w:pPr>
        <w:pStyle w:val="s1"/>
        <w:spacing w:before="0" w:beforeAutospacing="0" w:after="0" w:afterAutospacing="0"/>
        <w:jc w:val="both"/>
      </w:pPr>
      <w:r>
        <w:t>Обратиться можно:</w:t>
      </w:r>
    </w:p>
    <w:p w:rsidR="00430BC5" w:rsidRDefault="00430BC5" w:rsidP="00430BC5">
      <w:pPr>
        <w:pStyle w:val="s1"/>
        <w:spacing w:before="0" w:beforeAutospacing="0" w:after="0" w:afterAutospacing="0"/>
        <w:jc w:val="both"/>
      </w:pPr>
      <w:r>
        <w:t>- во все суды общей юрисдикции - по гражданским или административным делам;</w:t>
      </w:r>
    </w:p>
    <w:p w:rsidR="00430BC5" w:rsidRDefault="00430BC5" w:rsidP="00430BC5">
      <w:pPr>
        <w:pStyle w:val="s1"/>
        <w:spacing w:before="0" w:beforeAutospacing="0" w:after="0" w:afterAutospacing="0"/>
        <w:jc w:val="both"/>
      </w:pPr>
      <w:r>
        <w:t>- в Верховный Суд РФ - по гражданским, административным, уголовным и арбитражным делам.</w:t>
      </w:r>
    </w:p>
    <w:p w:rsidR="00430BC5" w:rsidRDefault="00430BC5" w:rsidP="00430BC5">
      <w:pPr>
        <w:pStyle w:val="s1"/>
        <w:spacing w:before="0" w:beforeAutospacing="0" w:after="0" w:afterAutospacing="0"/>
        <w:jc w:val="both"/>
      </w:pPr>
      <w:r>
        <w:t>Сервис поможет выбрать суд, рассчитать и оплатить госпошлину.</w:t>
      </w:r>
    </w:p>
    <w:p w:rsidR="00430BC5" w:rsidRDefault="00430BC5" w:rsidP="00430BC5">
      <w:pPr>
        <w:pStyle w:val="s1"/>
        <w:spacing w:before="0" w:beforeAutospacing="0" w:after="0" w:afterAutospacing="0"/>
        <w:jc w:val="both"/>
      </w:pPr>
      <w:r>
        <w:t>Подписать обращение можно как электронной подписью, так и от руки.</w:t>
      </w:r>
    </w:p>
    <w:p w:rsidR="00430BC5" w:rsidRDefault="00430BC5" w:rsidP="00430BC5">
      <w:pPr>
        <w:pStyle w:val="s1"/>
        <w:spacing w:before="0" w:beforeAutospacing="0" w:after="0" w:afterAutospacing="0"/>
        <w:jc w:val="both"/>
      </w:pPr>
      <w:r>
        <w:t>Если суд примет обращение, оно будет зарегистрировано в течение нескольких часов. В личный кабинет придет номер, по которому можно отслеживать статус обращения на сайте суда. Срок рассмотрения - от нескольких дней до нескольких месяцев.</w:t>
      </w:r>
    </w:p>
    <w:p w:rsidR="00430BC5" w:rsidRDefault="00430BC5" w:rsidP="00430BC5">
      <w:pPr>
        <w:pStyle w:val="s1"/>
        <w:spacing w:before="0" w:beforeAutospacing="0" w:after="0" w:afterAutospacing="0"/>
        <w:jc w:val="both"/>
      </w:pPr>
    </w:p>
    <w:p w:rsidR="00430BC5" w:rsidRPr="009B1A37" w:rsidRDefault="003D3094" w:rsidP="003C23F1">
      <w:pPr>
        <w:pStyle w:val="s1"/>
        <w:jc w:val="both"/>
        <w:rPr>
          <w:b/>
        </w:rPr>
      </w:pPr>
      <w:hyperlink r:id="rId10" w:history="1">
        <w:r w:rsidR="00430BC5" w:rsidRPr="00430BC5">
          <w:rPr>
            <w:rStyle w:val="a3"/>
            <w:b/>
            <w:color w:val="auto"/>
            <w:u w:val="none"/>
          </w:rPr>
          <w:t>Постановлением Правител</w:t>
        </w:r>
        <w:r w:rsidR="003C23F1">
          <w:rPr>
            <w:rStyle w:val="a3"/>
            <w:b/>
            <w:color w:val="auto"/>
            <w:u w:val="none"/>
          </w:rPr>
          <w:t>ьства РФ от 28 февраля 2024 года</w:t>
        </w:r>
        <w:r w:rsidR="00430BC5" w:rsidRPr="00430BC5">
          <w:rPr>
            <w:rStyle w:val="a3"/>
            <w:b/>
            <w:color w:val="auto"/>
            <w:u w:val="none"/>
          </w:rPr>
          <w:t xml:space="preserve"> № 219</w:t>
        </w:r>
      </w:hyperlink>
      <w:r w:rsidR="00430BC5" w:rsidRPr="00430BC5">
        <w:rPr>
          <w:b/>
        </w:rPr>
        <w:t xml:space="preserve"> в</w:t>
      </w:r>
      <w:r w:rsidR="00430BC5" w:rsidRPr="00430BC5">
        <w:rPr>
          <w:rStyle w:val="s10"/>
          <w:b/>
        </w:rPr>
        <w:t xml:space="preserve">несены изменения в правила представления уведомлений о начале осуществления </w:t>
      </w:r>
      <w:r w:rsidR="00430BC5" w:rsidRPr="009B1A37">
        <w:rPr>
          <w:rStyle w:val="s10"/>
          <w:b/>
        </w:rPr>
        <w:t>отдельных видов предпринимательской деятельности.</w:t>
      </w:r>
    </w:p>
    <w:p w:rsidR="00430BC5" w:rsidRPr="003C23F1" w:rsidRDefault="00430BC5" w:rsidP="003C23F1">
      <w:pPr>
        <w:pStyle w:val="s1"/>
        <w:jc w:val="both"/>
      </w:pPr>
      <w:r w:rsidRPr="009B1A37">
        <w:t xml:space="preserve">В </w:t>
      </w:r>
      <w:hyperlink r:id="rId11" w:anchor="block_1000" w:history="1">
        <w:r w:rsidRPr="009B1A37">
          <w:rPr>
            <w:rStyle w:val="a3"/>
            <w:color w:val="auto"/>
            <w:u w:val="none"/>
          </w:rPr>
          <w:t>Правила</w:t>
        </w:r>
      </w:hyperlink>
      <w:r w:rsidRPr="009B1A37">
        <w:t xml:space="preserve"> представления уведомлений о начале осуществления отдельных видов предпринимательской деятельности и у</w:t>
      </w:r>
      <w:r w:rsidR="003C23F1" w:rsidRPr="009B1A37">
        <w:t>чета указанных уведомлений, утвержденные</w:t>
      </w:r>
      <w:r w:rsidRPr="009B1A37">
        <w:t xml:space="preserve"> </w:t>
      </w:r>
      <w:hyperlink r:id="rId12" w:history="1">
        <w:r w:rsidRPr="009B1A37">
          <w:rPr>
            <w:rStyle w:val="a3"/>
            <w:color w:val="auto"/>
            <w:u w:val="none"/>
          </w:rPr>
          <w:t>постановлением</w:t>
        </w:r>
      </w:hyperlink>
      <w:r w:rsidRPr="009B1A37">
        <w:t xml:space="preserve"> </w:t>
      </w:r>
      <w:r w:rsidR="003C23F1" w:rsidRPr="009B1A37">
        <w:t>Правительства РФ от 16.07.2009 №</w:t>
      </w:r>
      <w:r w:rsidRPr="009B1A37">
        <w:t xml:space="preserve"> 584 (далее - Правила), внесены </w:t>
      </w:r>
      <w:hyperlink r:id="rId13" w:history="1">
        <w:r w:rsidRPr="009B1A37">
          <w:rPr>
            <w:rStyle w:val="a3"/>
            <w:color w:val="auto"/>
            <w:u w:val="none"/>
          </w:rPr>
          <w:t>изменения</w:t>
        </w:r>
      </w:hyperlink>
      <w:r w:rsidRPr="003C23F1">
        <w:t xml:space="preserve"> в целях реализации принятых летом прошлого года законодательных </w:t>
      </w:r>
      <w:hyperlink r:id="rId14" w:history="1">
        <w:r w:rsidRPr="005320D9">
          <w:rPr>
            <w:rStyle w:val="a3"/>
            <w:color w:val="auto"/>
            <w:u w:val="none"/>
          </w:rPr>
          <w:t>поправок</w:t>
        </w:r>
      </w:hyperlink>
      <w:r w:rsidRPr="005320D9">
        <w:t>,</w:t>
      </w:r>
      <w:r w:rsidRPr="003C23F1">
        <w:t xml:space="preserve"> уточнивших порядок уведомления о начале осуществления отдельных видов предпринимательской </w:t>
      </w:r>
      <w:r w:rsidR="005320D9">
        <w:t xml:space="preserve"> </w:t>
      </w:r>
      <w:r w:rsidRPr="003C23F1">
        <w:t>деятельности</w:t>
      </w:r>
      <w:r w:rsidR="003C23F1" w:rsidRPr="003C23F1">
        <w:t>.</w:t>
      </w:r>
    </w:p>
    <w:p w:rsidR="00430BC5" w:rsidRPr="003C23F1" w:rsidRDefault="00430BC5" w:rsidP="003C23F1">
      <w:pPr>
        <w:pStyle w:val="s1"/>
        <w:jc w:val="both"/>
      </w:pPr>
      <w:r w:rsidRPr="003C23F1">
        <w:lastRenderedPageBreak/>
        <w:t xml:space="preserve">В частности, </w:t>
      </w:r>
      <w:hyperlink r:id="rId15" w:anchor="block_1000" w:history="1">
        <w:r w:rsidRPr="009B1A37">
          <w:rPr>
            <w:rStyle w:val="a3"/>
            <w:color w:val="auto"/>
            <w:u w:val="none"/>
          </w:rPr>
          <w:t>Правила</w:t>
        </w:r>
      </w:hyperlink>
      <w:r w:rsidRPr="009B1A37">
        <w:t xml:space="preserve"> </w:t>
      </w:r>
      <w:r w:rsidRPr="003C23F1">
        <w:t>дополнены положениями о формировании единого реестра уведомлений. Он будет функционировать в составе единого реестра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430BC5" w:rsidRPr="003C23F1" w:rsidRDefault="00430BC5" w:rsidP="003C23F1">
      <w:pPr>
        <w:pStyle w:val="s1"/>
        <w:jc w:val="both"/>
      </w:pPr>
      <w:r w:rsidRPr="003C23F1">
        <w:t>Установлен состав сведений единого реестра уведомлений. Предусмотрено, что содержащиеся в нем общедоступные сведения должны быть доступны для ознакомления без взимания платы на официальном сайте этого реестра, размещаемом на публичном портале единого реестра видов контроля.</w:t>
      </w:r>
    </w:p>
    <w:p w:rsidR="00430BC5" w:rsidRPr="003C23F1" w:rsidRDefault="00430BC5" w:rsidP="003C23F1">
      <w:pPr>
        <w:pStyle w:val="s1"/>
        <w:jc w:val="both"/>
      </w:pPr>
      <w:r w:rsidRPr="003C23F1">
        <w:t xml:space="preserve">Сведения об изменении места нахождения </w:t>
      </w:r>
      <w:proofErr w:type="spellStart"/>
      <w:r w:rsidRPr="003C23F1">
        <w:t>юрлица</w:t>
      </w:r>
      <w:proofErr w:type="spellEnd"/>
      <w:r w:rsidRPr="003C23F1">
        <w:t xml:space="preserve"> и (или) места фактического осуществления деятельности, изменении места жительства ИП и (или) места фактического осуществления деятельности, о реорганизации </w:t>
      </w:r>
      <w:proofErr w:type="spellStart"/>
      <w:r w:rsidRPr="003C23F1">
        <w:t>юрлица</w:t>
      </w:r>
      <w:proofErr w:type="spellEnd"/>
      <w:r w:rsidRPr="003C23F1">
        <w:t xml:space="preserve"> будут включаться в единый реестр уведомлений автоматически из ЕГРЮЛ или ЕГРИП соответственно.</w:t>
      </w:r>
    </w:p>
    <w:p w:rsidR="005320D9" w:rsidRDefault="00430BC5" w:rsidP="003C23F1">
      <w:pPr>
        <w:pStyle w:val="s1"/>
        <w:jc w:val="both"/>
      </w:pPr>
      <w:r w:rsidRPr="003C23F1">
        <w:t>Кроме того, поправками сокращен перечень работ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представляется уведомление в контролирующий орган.</w:t>
      </w:r>
    </w:p>
    <w:p w:rsidR="00C96066" w:rsidRDefault="00C96066" w:rsidP="00C96066">
      <w:pPr>
        <w:pStyle w:val="a4"/>
        <w:jc w:val="both"/>
      </w:pPr>
      <w:r w:rsidRPr="00C96066">
        <w:rPr>
          <w:rStyle w:val="a8"/>
          <w:b/>
          <w:i w:val="0"/>
        </w:rPr>
        <w:t>В соответствии с Постановлением Прав</w:t>
      </w:r>
      <w:r>
        <w:rPr>
          <w:rStyle w:val="a8"/>
          <w:b/>
          <w:i w:val="0"/>
        </w:rPr>
        <w:t>ительства РФ от 30 марта 2023 года</w:t>
      </w:r>
      <w:r w:rsidRPr="00C96066">
        <w:rPr>
          <w:rStyle w:val="a8"/>
          <w:b/>
          <w:i w:val="0"/>
        </w:rPr>
        <w:t xml:space="preserve"> № 510 «</w:t>
      </w:r>
      <w:hyperlink r:id="rId16" w:history="1">
        <w:r w:rsidRPr="00C96066">
          <w:rPr>
            <w:rStyle w:val="a8"/>
            <w:b/>
            <w:i w:val="0"/>
          </w:rPr>
          <w:t>О внесении изменения в пункт 32 Правил противопожарного режима в Российской Федерации</w:t>
        </w:r>
      </w:hyperlink>
      <w:r w:rsidRPr="00C96066">
        <w:rPr>
          <w:rStyle w:val="a8"/>
          <w:b/>
          <w:i w:val="0"/>
        </w:rPr>
        <w:t>»</w:t>
      </w:r>
      <w:r w:rsidRPr="00C96066">
        <w:rPr>
          <w:rStyle w:val="a8"/>
          <w:i w:val="0"/>
        </w:rPr>
        <w:t xml:space="preserve">, вступившим в силу с 1 марта 2024 года, </w:t>
      </w:r>
      <w:r w:rsidRPr="00C96066">
        <w:t>усилены меры противопожарной безопасности на некоторых социальных объектах.</w:t>
      </w:r>
      <w:r>
        <w:t xml:space="preserve"> </w:t>
      </w:r>
      <w:r w:rsidRPr="00C96066">
        <w:t>С 1 марта</w:t>
      </w:r>
      <w:r>
        <w:t xml:space="preserve"> 2024 года</w:t>
      </w:r>
      <w:r w:rsidRPr="00C96066">
        <w:t xml:space="preserve"> стало обязательным оборудование устройствами защиты от дугового пробоя, поддерживаемыми в исправном состоянии, электроустановок зданий общежитий, </w:t>
      </w:r>
      <w:proofErr w:type="spellStart"/>
      <w:r w:rsidRPr="00C96066">
        <w:t>хостелов</w:t>
      </w:r>
      <w:proofErr w:type="spellEnd"/>
      <w:r w:rsidRPr="00C96066">
        <w:t>, общеобразовательных организаций, образовательных организаций с наличием интерната, дошкольных образовательных организаций. Защита электросети от замыкания должна появиться и в специализированных домах престарелых и инвалидов (</w:t>
      </w:r>
      <w:proofErr w:type="spellStart"/>
      <w:r w:rsidRPr="00C96066">
        <w:t>неквартирных</w:t>
      </w:r>
      <w:proofErr w:type="spellEnd"/>
      <w:r w:rsidRPr="00C96066">
        <w:t xml:space="preserve">), спальных корпусах организаций отдыха детей и их оздоровления, </w:t>
      </w:r>
      <w:proofErr w:type="spellStart"/>
      <w:r w:rsidRPr="00C96066">
        <w:t>медорганизациях</w:t>
      </w:r>
      <w:proofErr w:type="spellEnd"/>
      <w:r w:rsidRPr="00C96066">
        <w:t>, предназначенных для осуществления медицинской деятельности. Оборудовать устройствами защиты такие объекты, введенные в эксплуатацию до 1 марта 2024 года, нужно будет при их реконструкции или капитальном ремонте.</w:t>
      </w:r>
    </w:p>
    <w:p w:rsidR="00C419C8" w:rsidRDefault="00C419C8" w:rsidP="00C96066">
      <w:pPr>
        <w:ind w:firstLineChars="962" w:firstLine="26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 материалам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C960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«Гарант»</w:t>
      </w:r>
    </w:p>
    <w:p w:rsidR="00C419C8" w:rsidRDefault="00C419C8" w:rsidP="003C23F1">
      <w:pPr>
        <w:pStyle w:val="s1"/>
        <w:jc w:val="both"/>
      </w:pPr>
    </w:p>
    <w:sectPr w:rsidR="00C419C8" w:rsidSect="008E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54BF"/>
    <w:multiLevelType w:val="hybridMultilevel"/>
    <w:tmpl w:val="FF5C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4D1997"/>
    <w:rsid w:val="001A6A40"/>
    <w:rsid w:val="001D63D8"/>
    <w:rsid w:val="003C23F1"/>
    <w:rsid w:val="003D3094"/>
    <w:rsid w:val="00430BC5"/>
    <w:rsid w:val="00485F75"/>
    <w:rsid w:val="004D1997"/>
    <w:rsid w:val="005320D9"/>
    <w:rsid w:val="008E6C29"/>
    <w:rsid w:val="009B1A37"/>
    <w:rsid w:val="00BA467B"/>
    <w:rsid w:val="00C419C8"/>
    <w:rsid w:val="00C9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29"/>
  </w:style>
  <w:style w:type="paragraph" w:styleId="1">
    <w:name w:val="heading 1"/>
    <w:basedOn w:val="a"/>
    <w:link w:val="10"/>
    <w:uiPriority w:val="9"/>
    <w:qFormat/>
    <w:rsid w:val="004D1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32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4D1997"/>
  </w:style>
  <w:style w:type="character" w:styleId="a3">
    <w:name w:val="Hyperlink"/>
    <w:basedOn w:val="a0"/>
    <w:uiPriority w:val="99"/>
    <w:semiHidden/>
    <w:unhideWhenUsed/>
    <w:rsid w:val="004D1997"/>
    <w:rPr>
      <w:color w:val="0000FF"/>
      <w:u w:val="single"/>
    </w:rPr>
  </w:style>
  <w:style w:type="character" w:customStyle="1" w:styleId="tags-newstext">
    <w:name w:val="tags-news__text"/>
    <w:basedOn w:val="a0"/>
    <w:rsid w:val="004D1997"/>
  </w:style>
  <w:style w:type="character" w:customStyle="1" w:styleId="apple-converted-space">
    <w:name w:val="apple-converted-space"/>
    <w:basedOn w:val="a0"/>
    <w:rsid w:val="004D1997"/>
  </w:style>
  <w:style w:type="paragraph" w:styleId="a4">
    <w:name w:val="Normal (Web)"/>
    <w:basedOn w:val="a"/>
    <w:uiPriority w:val="99"/>
    <w:unhideWhenUsed/>
    <w:rsid w:val="004D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9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997"/>
    <w:pPr>
      <w:ind w:left="720"/>
      <w:contextualSpacing/>
    </w:pPr>
  </w:style>
  <w:style w:type="paragraph" w:customStyle="1" w:styleId="s74">
    <w:name w:val="s_74"/>
    <w:basedOn w:val="a"/>
    <w:rsid w:val="0048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85F75"/>
  </w:style>
  <w:style w:type="paragraph" w:customStyle="1" w:styleId="s1">
    <w:name w:val="s_1"/>
    <w:basedOn w:val="a"/>
    <w:rsid w:val="0048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8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8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320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5320D9"/>
    <w:rPr>
      <w:i/>
      <w:iCs/>
    </w:rPr>
  </w:style>
  <w:style w:type="character" w:styleId="a9">
    <w:name w:val="Strong"/>
    <w:basedOn w:val="a0"/>
    <w:uiPriority w:val="22"/>
    <w:qFormat/>
    <w:rsid w:val="005320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41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19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6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3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8602749/123bffb7924f30556caa4c8baf299bdf/" TargetMode="External"/><Relationship Id="rId13" Type="http://schemas.openxmlformats.org/officeDocument/2006/relationships/hyperlink" Target="https://base.garant.ru/40863294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8602749/123bffb7924f30556caa4c8baf299bdf/" TargetMode="External"/><Relationship Id="rId12" Type="http://schemas.openxmlformats.org/officeDocument/2006/relationships/hyperlink" Target="https://base.garant.ru/1216851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40664117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05879/b3975f01ce8b0eb0c9b11526d9b4c7bf/" TargetMode="External"/><Relationship Id="rId11" Type="http://schemas.openxmlformats.org/officeDocument/2006/relationships/hyperlink" Target="https://base.garant.ru/12168518/976204dd4ebbcf038a8b425e226a4934/" TargetMode="External"/><Relationship Id="rId5" Type="http://schemas.openxmlformats.org/officeDocument/2006/relationships/hyperlink" Target="https://base.garant.ru/10105879/" TargetMode="External"/><Relationship Id="rId15" Type="http://schemas.openxmlformats.org/officeDocument/2006/relationships/hyperlink" Target="https://base.garant.ru/12168518/976204dd4ebbcf038a8b425e226a4934/" TargetMode="External"/><Relationship Id="rId10" Type="http://schemas.openxmlformats.org/officeDocument/2006/relationships/hyperlink" Target="https://base.garant.ru/4086329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8602749/123bffb7924f30556caa4c8baf299bdf/" TargetMode="External"/><Relationship Id="rId14" Type="http://schemas.openxmlformats.org/officeDocument/2006/relationships/hyperlink" Target="https://base.garant.ru/4074262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2024-03-11T06:57:00Z</dcterms:created>
  <dcterms:modified xsi:type="dcterms:W3CDTF">2024-03-11T11:46:00Z</dcterms:modified>
</cp:coreProperties>
</file>