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7E5" w:rsidRDefault="005A77E5" w:rsidP="005A77E5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ИЗ СУДЕБНОЙ ПРАКТИКИ</w:t>
      </w:r>
    </w:p>
    <w:p w:rsidR="005A77E5" w:rsidRPr="004B4E2E" w:rsidRDefault="005A77E5" w:rsidP="004B4E2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 w:firstLine="0"/>
        <w:jc w:val="both"/>
        <w:textAlignment w:val="baseline"/>
      </w:pPr>
      <w:r w:rsidRPr="004B4E2E">
        <w:rPr>
          <w:rStyle w:val="doctitleimportant"/>
          <w:b/>
        </w:rPr>
        <w:t xml:space="preserve">Определение Третьего кассационного суда общей юрисдикции от 04.09.2024 </w:t>
      </w:r>
      <w:r w:rsidR="004B4E2E">
        <w:rPr>
          <w:rStyle w:val="doctitleimportant"/>
          <w:b/>
        </w:rPr>
        <w:t xml:space="preserve">  </w:t>
      </w:r>
      <w:r w:rsidRPr="004B4E2E">
        <w:rPr>
          <w:rStyle w:val="doctitleimportant"/>
          <w:b/>
        </w:rPr>
        <w:t>№ 88-19222/2024</w:t>
      </w:r>
      <w:r w:rsidR="004B4E2E" w:rsidRPr="004B4E2E">
        <w:rPr>
          <w:rStyle w:val="doctitleimportant"/>
          <w:b/>
        </w:rPr>
        <w:t>:</w:t>
      </w:r>
      <w:r w:rsidRPr="004B4E2E">
        <w:rPr>
          <w:rStyle w:val="doctitleimportant"/>
          <w:b/>
        </w:rPr>
        <w:t xml:space="preserve"> </w:t>
      </w:r>
      <w:r w:rsidR="004B4E2E">
        <w:rPr>
          <w:b/>
          <w:bCs/>
          <w:kern w:val="36"/>
        </w:rPr>
        <w:t>п</w:t>
      </w:r>
      <w:r w:rsidRPr="004B4E2E">
        <w:rPr>
          <w:b/>
          <w:bCs/>
          <w:kern w:val="36"/>
        </w:rPr>
        <w:t>еренос дат перечисления зарплат нельзя считать изменением организационных условий труда.</w:t>
      </w:r>
    </w:p>
    <w:p w:rsidR="006C5C31" w:rsidRPr="004B4E2E" w:rsidRDefault="005A77E5" w:rsidP="004B4E2E">
      <w:pPr>
        <w:pStyle w:val="a4"/>
        <w:shd w:val="clear" w:color="auto" w:fill="FFFFFF"/>
        <w:spacing w:before="0" w:beforeAutospacing="0" w:after="0" w:afterAutospacing="0" w:line="245" w:lineRule="atLeast"/>
        <w:ind w:firstLine="567"/>
        <w:jc w:val="both"/>
        <w:textAlignment w:val="baseline"/>
      </w:pPr>
      <w:r w:rsidRPr="004B4E2E">
        <w:t>В компании решили скорректировать даты выплаты зарплат, в частности, из-за оптимизации кадрового центра, увеличения числа работников. Специалисту вручили</w:t>
      </w:r>
      <w:r w:rsidRPr="004B4E2E">
        <w:rPr>
          <w:rStyle w:val="apple-converted-space"/>
        </w:rPr>
        <w:t> </w:t>
      </w:r>
      <w:hyperlink r:id="rId5" w:history="1">
        <w:r w:rsidRPr="004B4E2E">
          <w:rPr>
            <w:rStyle w:val="a3"/>
            <w:color w:val="auto"/>
            <w:u w:val="none"/>
            <w:bdr w:val="none" w:sz="0" w:space="0" w:color="auto" w:frame="1"/>
          </w:rPr>
          <w:t>уведомление</w:t>
        </w:r>
      </w:hyperlink>
      <w:r w:rsidRPr="004B4E2E">
        <w:rPr>
          <w:rStyle w:val="apple-converted-space"/>
        </w:rPr>
        <w:t> </w:t>
      </w:r>
      <w:r w:rsidRPr="004B4E2E">
        <w:t>и предложили подписать дополнительное соглашение к трудовому договору. За отказ работать в новых условиях его</w:t>
      </w:r>
      <w:r w:rsidRPr="004B4E2E">
        <w:rPr>
          <w:rStyle w:val="apple-converted-space"/>
        </w:rPr>
        <w:t> </w:t>
      </w:r>
      <w:hyperlink r:id="rId6" w:history="1">
        <w:r w:rsidRPr="004B4E2E">
          <w:rPr>
            <w:rStyle w:val="a3"/>
            <w:color w:val="auto"/>
            <w:u w:val="none"/>
            <w:bdr w:val="none" w:sz="0" w:space="0" w:color="auto" w:frame="1"/>
          </w:rPr>
          <w:t>уволили</w:t>
        </w:r>
      </w:hyperlink>
      <w:r w:rsidRPr="004B4E2E">
        <w:t>.</w:t>
      </w:r>
      <w:r w:rsidR="004B4E2E" w:rsidRPr="004B4E2E">
        <w:t xml:space="preserve"> Работник подал иск в суд.</w:t>
      </w:r>
    </w:p>
    <w:p w:rsidR="006C5C31" w:rsidRPr="004B4E2E" w:rsidRDefault="006C5C31" w:rsidP="004B4E2E">
      <w:pPr>
        <w:pStyle w:val="a4"/>
        <w:shd w:val="clear" w:color="auto" w:fill="FFFFFF"/>
        <w:spacing w:before="0" w:beforeAutospacing="0" w:after="0" w:afterAutospacing="0" w:line="245" w:lineRule="atLeast"/>
        <w:ind w:firstLine="567"/>
        <w:jc w:val="both"/>
        <w:textAlignment w:val="baseline"/>
      </w:pPr>
      <w:r w:rsidRPr="004B4E2E">
        <w:t>Разрешая заявленные требования</w:t>
      </w:r>
      <w:r w:rsidR="004B4E2E" w:rsidRPr="004B4E2E">
        <w:t xml:space="preserve"> истца</w:t>
      </w:r>
      <w:r w:rsidRPr="004B4E2E">
        <w:t>, суд первой инстанции пришел к выводу об отсутствии правовых оснований для удовлетворения требований работника</w:t>
      </w:r>
      <w:r w:rsidR="004B4E2E" w:rsidRPr="004B4E2E">
        <w:t>. Суд указал, что</w:t>
      </w:r>
      <w:r w:rsidRPr="004B4E2E">
        <w:t xml:space="preserve"> перевод работника в порядке </w:t>
      </w:r>
      <w:hyperlink r:id="rId7" w:history="1">
        <w:r w:rsidRPr="004B4E2E">
          <w:t>статьи 74</w:t>
        </w:r>
      </w:hyperlink>
      <w:r w:rsidRPr="004B4E2E">
        <w:t xml:space="preserve"> Трудового кодекса на выбранную им вакансию из предложенного списка был невозможен ввиду того, что по предложенным вакансиям также условия труда были изменены, поскольку изменение даты выплаты заработной платы вводилась в отношении всех сотрудников организации.</w:t>
      </w:r>
    </w:p>
    <w:p w:rsidR="006C5C31" w:rsidRPr="004B4E2E" w:rsidRDefault="006C5C31" w:rsidP="004B4E2E">
      <w:pPr>
        <w:pStyle w:val="ConsPlusNormal"/>
        <w:ind w:firstLine="540"/>
        <w:jc w:val="both"/>
      </w:pPr>
      <w:r w:rsidRPr="004B4E2E">
        <w:t>Отменяя</w:t>
      </w:r>
      <w:r w:rsidR="004B4E2E" w:rsidRPr="004B4E2E">
        <w:t xml:space="preserve"> решение суда первой инстанции</w:t>
      </w:r>
      <w:r w:rsidRPr="004B4E2E">
        <w:t xml:space="preserve"> и удовлетворяя исковые требования, суд апелляционной инстанции, руководствуясь </w:t>
      </w:r>
      <w:hyperlink r:id="rId8" w:history="1">
        <w:r w:rsidRPr="004B4E2E">
          <w:t>статьями 57</w:t>
        </w:r>
      </w:hyperlink>
      <w:r w:rsidRPr="004B4E2E">
        <w:t xml:space="preserve">, </w:t>
      </w:r>
      <w:hyperlink r:id="rId9" w:history="1">
        <w:r w:rsidRPr="004B4E2E">
          <w:t>72</w:t>
        </w:r>
      </w:hyperlink>
      <w:r w:rsidRPr="004B4E2E">
        <w:t xml:space="preserve">, частями первой-четвертой </w:t>
      </w:r>
      <w:hyperlink r:id="rId10" w:history="1">
        <w:r w:rsidRPr="004B4E2E">
          <w:t>статьи 74</w:t>
        </w:r>
      </w:hyperlink>
      <w:r w:rsidRPr="004B4E2E">
        <w:t xml:space="preserve">, </w:t>
      </w:r>
      <w:hyperlink r:id="rId11" w:history="1">
        <w:r w:rsidRPr="004B4E2E">
          <w:t>пункта 7 части первой статьи 77</w:t>
        </w:r>
      </w:hyperlink>
      <w:r w:rsidRPr="004B4E2E">
        <w:t xml:space="preserve">, </w:t>
      </w:r>
      <w:hyperlink r:id="rId12" w:history="1">
        <w:r w:rsidRPr="004B4E2E">
          <w:t>частью шестой статьи 136</w:t>
        </w:r>
      </w:hyperlink>
      <w:r w:rsidRPr="004B4E2E">
        <w:t xml:space="preserve"> Трудового кодекса, разъяснениями, содержащимися в </w:t>
      </w:r>
      <w:hyperlink r:id="rId13" w:history="1">
        <w:r w:rsidRPr="004B4E2E">
          <w:t>пункте 21</w:t>
        </w:r>
      </w:hyperlink>
      <w:r w:rsidRPr="004B4E2E">
        <w:t xml:space="preserve"> постановлении Пленума Верховного Суда Российской</w:t>
      </w:r>
      <w:r w:rsidR="004B4E2E" w:rsidRPr="004B4E2E">
        <w:t xml:space="preserve"> Федерации от 17 марта 2004 г. № 2 «</w:t>
      </w:r>
      <w:r w:rsidRPr="004B4E2E">
        <w:t>О применении судами Российской Федерации Трудово</w:t>
      </w:r>
      <w:r w:rsidR="004B4E2E" w:rsidRPr="004B4E2E">
        <w:t>го кодекса Российской Федерации»</w:t>
      </w:r>
      <w:r w:rsidRPr="004B4E2E">
        <w:t xml:space="preserve"> (далее - постановление Пленума Верховного Суда Российской Федерации от 17 марта 2004 г. N 2), исходил из неправильного толкования судом </w:t>
      </w:r>
      <w:hyperlink r:id="rId14" w:history="1">
        <w:r w:rsidRPr="004B4E2E">
          <w:t>части четвертой статьи 74</w:t>
        </w:r>
      </w:hyperlink>
      <w:r w:rsidRPr="004B4E2E">
        <w:t xml:space="preserve"> Трудового кодекса, поскольку условия оплаты труда, с которыми законодатель связывает изменение определенных сторонами существенных условий трудового договора (</w:t>
      </w:r>
      <w:hyperlink r:id="rId15" w:history="1">
        <w:r w:rsidRPr="004B4E2E">
          <w:t>статья 57</w:t>
        </w:r>
      </w:hyperlink>
      <w:r w:rsidRPr="004B4E2E">
        <w:t xml:space="preserve"> Трудового кодекса), остались прежними. Само по себе изменение календарной даты выплаты заработной платы с соблюдением условия о ее выплате не позднее 15 календарных дней со дня окончания периода, за который она начислена, не может расцениваться как изменение условий оплаты труда. Вследствие чего у ответчика отсутствовали основания для выполнения действий, регламентированных </w:t>
      </w:r>
      <w:hyperlink r:id="rId16" w:history="1">
        <w:r w:rsidRPr="004B4E2E">
          <w:t>статьей 74</w:t>
        </w:r>
      </w:hyperlink>
      <w:r w:rsidRPr="004B4E2E">
        <w:t xml:space="preserve"> Трудового кодекса</w:t>
      </w:r>
      <w:r w:rsidR="004B4E2E" w:rsidRPr="004B4E2E">
        <w:t>, и последующего увольнения работника</w:t>
      </w:r>
      <w:r w:rsidRPr="004B4E2E">
        <w:t xml:space="preserve"> по основанию </w:t>
      </w:r>
      <w:hyperlink r:id="rId17" w:history="1">
        <w:r w:rsidRPr="004B4E2E">
          <w:t>пункта 7 части первой статьи 77</w:t>
        </w:r>
      </w:hyperlink>
      <w:r w:rsidRPr="004B4E2E">
        <w:t xml:space="preserve"> Трудового кодекса.</w:t>
      </w:r>
    </w:p>
    <w:p w:rsidR="006C5C31" w:rsidRPr="004B4E2E" w:rsidRDefault="006C5C31" w:rsidP="004B4E2E">
      <w:pPr>
        <w:pStyle w:val="ConsPlusNormal"/>
        <w:ind w:firstLine="540"/>
        <w:jc w:val="both"/>
      </w:pPr>
      <w:r w:rsidRPr="004B4E2E">
        <w:t>Установив, незаконность прекр</w:t>
      </w:r>
      <w:r w:rsidR="004B4E2E" w:rsidRPr="004B4E2E">
        <w:t xml:space="preserve">ащения трудовых отношений с работником, суд апелляционной инстанции </w:t>
      </w:r>
      <w:r w:rsidRPr="004B4E2E">
        <w:t xml:space="preserve">руководствуясь положениями </w:t>
      </w:r>
      <w:hyperlink r:id="rId18" w:history="1">
        <w:r w:rsidRPr="004B4E2E">
          <w:t>статьи 394</w:t>
        </w:r>
      </w:hyperlink>
      <w:r w:rsidRPr="004B4E2E">
        <w:t xml:space="preserve"> Трудового кодекса, пришел к выводу о восстановлении работника на работе и взыскании в его пользу</w:t>
      </w:r>
      <w:r w:rsidR="004B4E2E" w:rsidRPr="004B4E2E">
        <w:t xml:space="preserve"> среднего заработка за время вынужденного прогула </w:t>
      </w:r>
      <w:r w:rsidRPr="004B4E2E">
        <w:t>компенсации морального вреда, причиненного незаконным увольнением.</w:t>
      </w:r>
    </w:p>
    <w:p w:rsidR="006C5C31" w:rsidRPr="004B4E2E" w:rsidRDefault="006C5C31" w:rsidP="004B4E2E">
      <w:pPr>
        <w:pStyle w:val="ConsPlusNormal"/>
        <w:ind w:firstLine="540"/>
        <w:jc w:val="both"/>
      </w:pPr>
      <w:r w:rsidRPr="004B4E2E">
        <w:t>Судебная коллегия по гражданским делам Третьего кассационного с</w:t>
      </w:r>
      <w:r w:rsidR="004B4E2E" w:rsidRPr="004B4E2E">
        <w:t>уда общей юрисдикции согласилась</w:t>
      </w:r>
      <w:r w:rsidRPr="004B4E2E">
        <w:t xml:space="preserve"> с выводами суда апелляционной инстанции о восстановлении работника в прежней должности, основанными на правильном применении норм материального права.</w:t>
      </w:r>
    </w:p>
    <w:p w:rsidR="006C5C31" w:rsidRPr="004B4E2E" w:rsidRDefault="006C5C31" w:rsidP="004B4E2E">
      <w:pPr>
        <w:pStyle w:val="a4"/>
        <w:shd w:val="clear" w:color="auto" w:fill="FFFFFF"/>
        <w:spacing w:before="0" w:beforeAutospacing="0" w:after="0" w:afterAutospacing="0" w:line="245" w:lineRule="atLeast"/>
        <w:jc w:val="both"/>
        <w:textAlignment w:val="baseline"/>
      </w:pPr>
    </w:p>
    <w:p w:rsidR="004B4E2E" w:rsidRPr="00CB54F5" w:rsidRDefault="00995C1A" w:rsidP="00CB54F5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4B4E2E" w:rsidRPr="00CB54F5">
          <w:rPr>
            <w:rFonts w:ascii="Times New Roman" w:eastAsia="Times New Roman" w:hAnsi="Times New Roman" w:cs="Times New Roman"/>
            <w:b/>
            <w:sz w:val="24"/>
            <w:szCs w:val="24"/>
          </w:rPr>
          <w:t>Определение</w:t>
        </w:r>
        <w:r w:rsidR="00373C2C">
          <w:rPr>
            <w:rStyle w:val="doctitleimportant"/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="00CB54F5" w:rsidRPr="00CB54F5">
          <w:rPr>
            <w:rStyle w:val="doctitleimportant"/>
            <w:rFonts w:ascii="Times New Roman" w:hAnsi="Times New Roman" w:cs="Times New Roman"/>
            <w:b/>
            <w:sz w:val="24"/>
            <w:szCs w:val="24"/>
          </w:rPr>
          <w:t>Третьего кассационного суда общей юрисдикции</w:t>
        </w:r>
        <w:r w:rsidR="004B4E2E" w:rsidRPr="00CB54F5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от 04.09.2024 </w:t>
        </w:r>
        <w:r w:rsidR="00CB54F5" w:rsidRPr="00CB54F5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   №</w:t>
        </w:r>
        <w:r w:rsidR="004B4E2E" w:rsidRPr="00CB54F5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88-20242/2024</w:t>
        </w:r>
      </w:hyperlink>
      <w:r w:rsidR="004B4E2E" w:rsidRPr="00CB54F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4B4E2E" w:rsidRPr="00CB5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Сотрудника уволили в пятницу, а должность сократили с понедельника – суды не поддержали</w:t>
      </w:r>
      <w:r w:rsidR="00F62AF6" w:rsidRPr="00CB5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4B4E2E" w:rsidRPr="00CB5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работодателя</w:t>
      </w:r>
      <w:r w:rsidR="00F62AF6" w:rsidRPr="00CB5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.</w:t>
      </w:r>
    </w:p>
    <w:p w:rsidR="004B4E2E" w:rsidRPr="00CB54F5" w:rsidRDefault="004B4E2E" w:rsidP="00CB54F5">
      <w:pPr>
        <w:pStyle w:val="a7"/>
        <w:shd w:val="clear" w:color="auto" w:fill="FFFFFF"/>
        <w:spacing w:after="0" w:line="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B54F5" w:rsidRPr="00373C2C" w:rsidRDefault="004B4E2E" w:rsidP="00CB54F5">
      <w:pPr>
        <w:shd w:val="clear" w:color="auto" w:fill="FFFFFF"/>
        <w:spacing w:after="0" w:line="24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B54F5">
        <w:rPr>
          <w:rFonts w:ascii="Times New Roman" w:eastAsia="Times New Roman" w:hAnsi="Times New Roman" w:cs="Times New Roman"/>
          <w:sz w:val="24"/>
          <w:szCs w:val="24"/>
        </w:rPr>
        <w:t xml:space="preserve">Из-за сокращения с работником расторгли трудовой договор, но должность </w:t>
      </w:r>
      <w:r w:rsidRPr="00373C2C">
        <w:rPr>
          <w:rFonts w:ascii="Times New Roman" w:eastAsia="Times New Roman" w:hAnsi="Times New Roman" w:cs="Times New Roman"/>
          <w:sz w:val="24"/>
          <w:szCs w:val="24"/>
        </w:rPr>
        <w:t>оставалась в штатном расписании еще 2 дня. Ее исключили после выходных. Специалист оспорил увольнение.</w:t>
      </w:r>
      <w:r w:rsidR="005617FA" w:rsidRPr="00373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54F5" w:rsidRPr="00373C2C" w:rsidRDefault="00CB54F5" w:rsidP="00CB54F5">
      <w:pPr>
        <w:shd w:val="clear" w:color="auto" w:fill="FFFFFF"/>
        <w:spacing w:after="0" w:line="245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73C2C">
        <w:rPr>
          <w:rFonts w:ascii="Times New Roman" w:hAnsi="Times New Roman" w:cs="Times New Roman"/>
          <w:sz w:val="24"/>
          <w:szCs w:val="24"/>
        </w:rPr>
        <w:t xml:space="preserve">Разрешая спор и частично удовлетворяя исковые требования, суд первой инстанции, с выводами которого согласился суд апелляционной инстанции, руководствуясь </w:t>
      </w:r>
      <w:hyperlink r:id="rId20" w:history="1">
        <w:r w:rsidRPr="00373C2C">
          <w:rPr>
            <w:rFonts w:ascii="Times New Roman" w:hAnsi="Times New Roman" w:cs="Times New Roman"/>
            <w:sz w:val="24"/>
            <w:szCs w:val="24"/>
          </w:rPr>
          <w:t>пунктом 2 части первой</w:t>
        </w:r>
      </w:hyperlink>
      <w:r w:rsidRPr="00373C2C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373C2C">
          <w:rPr>
            <w:rFonts w:ascii="Times New Roman" w:hAnsi="Times New Roman" w:cs="Times New Roman"/>
            <w:sz w:val="24"/>
            <w:szCs w:val="24"/>
          </w:rPr>
          <w:t>частью третьей статьи 81</w:t>
        </w:r>
      </w:hyperlink>
      <w:r w:rsidRPr="00373C2C">
        <w:rPr>
          <w:rFonts w:ascii="Times New Roman" w:hAnsi="Times New Roman" w:cs="Times New Roman"/>
          <w:sz w:val="24"/>
          <w:szCs w:val="24"/>
        </w:rPr>
        <w:t xml:space="preserve"> ТК РФ, исходил из несоблюдения работодателем порядка увольнения и гарантий, предусмотренные при расторжении трудового договора с работником в связи с сокращением штата работников организации. Сокращение в </w:t>
      </w:r>
      <w:r w:rsidRPr="00373C2C">
        <w:rPr>
          <w:rFonts w:ascii="Times New Roman" w:hAnsi="Times New Roman" w:cs="Times New Roman"/>
          <w:sz w:val="24"/>
          <w:szCs w:val="24"/>
        </w:rPr>
        <w:lastRenderedPageBreak/>
        <w:t>организации производится после проведения работодателем сравнительного анализа квалификации и производительности труда работников. При этом обязанность доказать применение критериев производительности труда и квалификации при выборе подлежащего увольнению сотрудника в рамках соблюдена процедуры увольнения возложена на работодателя.</w:t>
      </w:r>
    </w:p>
    <w:p w:rsidR="004B4E2E" w:rsidRPr="00373C2C" w:rsidRDefault="004B4E2E" w:rsidP="00CB54F5">
      <w:pPr>
        <w:shd w:val="clear" w:color="auto" w:fill="FFFFFF"/>
        <w:spacing w:after="0" w:line="24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73C2C">
        <w:rPr>
          <w:rFonts w:ascii="Times New Roman" w:eastAsia="Times New Roman" w:hAnsi="Times New Roman" w:cs="Times New Roman"/>
          <w:sz w:val="24"/>
          <w:szCs w:val="24"/>
        </w:rPr>
        <w:t>Суды среди прочего </w:t>
      </w:r>
      <w:hyperlink r:id="rId22" w:history="1">
        <w:r w:rsidRPr="00373C2C">
          <w:rPr>
            <w:rFonts w:ascii="Times New Roman" w:eastAsia="Times New Roman" w:hAnsi="Times New Roman" w:cs="Times New Roman"/>
            <w:sz w:val="24"/>
            <w:szCs w:val="24"/>
          </w:rPr>
          <w:t>отметили</w:t>
        </w:r>
      </w:hyperlink>
      <w:r w:rsidRPr="00373C2C">
        <w:rPr>
          <w:rFonts w:ascii="Times New Roman" w:eastAsia="Times New Roman" w:hAnsi="Times New Roman" w:cs="Times New Roman"/>
          <w:sz w:val="24"/>
          <w:szCs w:val="24"/>
        </w:rPr>
        <w:t>: порядок сокращения нарушен, так как в последний рабочий день сотрудника должность не убрали из штатного расписания. Увольнение, как правило, </w:t>
      </w:r>
      <w:hyperlink r:id="rId23" w:history="1">
        <w:r w:rsidRPr="00373C2C">
          <w:rPr>
            <w:rFonts w:ascii="Times New Roman" w:eastAsia="Times New Roman" w:hAnsi="Times New Roman" w:cs="Times New Roman"/>
            <w:sz w:val="24"/>
            <w:szCs w:val="24"/>
          </w:rPr>
          <w:t>можно оформить</w:t>
        </w:r>
      </w:hyperlink>
      <w:r w:rsidRPr="00373C2C">
        <w:rPr>
          <w:rFonts w:ascii="Times New Roman" w:eastAsia="Times New Roman" w:hAnsi="Times New Roman" w:cs="Times New Roman"/>
          <w:sz w:val="24"/>
          <w:szCs w:val="24"/>
        </w:rPr>
        <w:t xml:space="preserve"> не ранее той даты, </w:t>
      </w:r>
      <w:r w:rsidR="00CB54F5" w:rsidRPr="00373C2C">
        <w:rPr>
          <w:rFonts w:ascii="Times New Roman" w:eastAsia="Times New Roman" w:hAnsi="Times New Roman" w:cs="Times New Roman"/>
          <w:sz w:val="24"/>
          <w:szCs w:val="24"/>
        </w:rPr>
        <w:t xml:space="preserve">когда исключают ставку. Кассационный суд </w:t>
      </w:r>
      <w:r w:rsidRPr="00373C2C">
        <w:rPr>
          <w:rFonts w:ascii="Times New Roman" w:eastAsia="Times New Roman" w:hAnsi="Times New Roman" w:cs="Times New Roman"/>
          <w:sz w:val="24"/>
          <w:szCs w:val="24"/>
        </w:rPr>
        <w:t> отклонил довод работодателя о том, что должность сократили после 2 выходных.</w:t>
      </w:r>
      <w:r w:rsidR="00CB54F5" w:rsidRPr="00373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C2C">
        <w:rPr>
          <w:rFonts w:ascii="Times New Roman" w:eastAsia="Times New Roman" w:hAnsi="Times New Roman" w:cs="Times New Roman"/>
          <w:sz w:val="24"/>
          <w:szCs w:val="24"/>
        </w:rPr>
        <w:t>Ранее суды, например </w:t>
      </w:r>
      <w:hyperlink r:id="rId24" w:history="1">
        <w:r w:rsidRPr="00373C2C">
          <w:rPr>
            <w:rFonts w:ascii="Times New Roman" w:eastAsia="Times New Roman" w:hAnsi="Times New Roman" w:cs="Times New Roman"/>
            <w:sz w:val="24"/>
            <w:szCs w:val="24"/>
          </w:rPr>
          <w:t>6-й КСОЮ</w:t>
        </w:r>
      </w:hyperlink>
      <w:r w:rsidRPr="00373C2C">
        <w:rPr>
          <w:rFonts w:ascii="Times New Roman" w:eastAsia="Times New Roman" w:hAnsi="Times New Roman" w:cs="Times New Roman"/>
          <w:sz w:val="24"/>
          <w:szCs w:val="24"/>
        </w:rPr>
        <w:t>, тоже обращали внимание на то, есть ли ставка в штатном расписании на момент увольнения.</w:t>
      </w:r>
    </w:p>
    <w:p w:rsidR="006C5C31" w:rsidRPr="00373C2C" w:rsidRDefault="006C5C31" w:rsidP="00CB54F5">
      <w:pPr>
        <w:pStyle w:val="a4"/>
        <w:shd w:val="clear" w:color="auto" w:fill="FFFFFF"/>
        <w:spacing w:before="0" w:beforeAutospacing="0" w:after="0" w:afterAutospacing="0" w:line="245" w:lineRule="atLeast"/>
        <w:ind w:firstLine="567"/>
        <w:jc w:val="both"/>
        <w:textAlignment w:val="baseline"/>
      </w:pPr>
    </w:p>
    <w:p w:rsidR="00373C2C" w:rsidRPr="00912140" w:rsidRDefault="00373C2C" w:rsidP="00373C2C">
      <w:pPr>
        <w:pStyle w:val="a4"/>
        <w:spacing w:line="276" w:lineRule="auto"/>
        <w:ind w:left="720"/>
        <w:jc w:val="right"/>
      </w:pPr>
      <w:r w:rsidRPr="00912140">
        <w:t>Подготов</w:t>
      </w:r>
      <w:r>
        <w:t>лено с использованием информации</w:t>
      </w:r>
      <w:r w:rsidRPr="00912140">
        <w:t xml:space="preserve"> </w:t>
      </w:r>
      <w:r>
        <w:t>Консультант Плюс</w:t>
      </w:r>
    </w:p>
    <w:p w:rsidR="006C5C31" w:rsidRPr="00373C2C" w:rsidRDefault="006C5C31" w:rsidP="00CB54F5">
      <w:pPr>
        <w:pStyle w:val="a4"/>
        <w:shd w:val="clear" w:color="auto" w:fill="FFFFFF"/>
        <w:spacing w:before="0" w:beforeAutospacing="0" w:after="0" w:afterAutospacing="0" w:line="245" w:lineRule="atLeast"/>
        <w:ind w:firstLine="567"/>
        <w:jc w:val="both"/>
        <w:textAlignment w:val="baseline"/>
      </w:pPr>
    </w:p>
    <w:p w:rsidR="006C5C31" w:rsidRPr="00373C2C" w:rsidRDefault="006C5C31" w:rsidP="00CB54F5">
      <w:pPr>
        <w:pStyle w:val="a4"/>
        <w:shd w:val="clear" w:color="auto" w:fill="FFFFFF"/>
        <w:spacing w:before="0" w:beforeAutospacing="0" w:after="0" w:afterAutospacing="0" w:line="245" w:lineRule="atLeast"/>
        <w:ind w:firstLine="567"/>
        <w:jc w:val="both"/>
        <w:textAlignment w:val="baseline"/>
      </w:pPr>
    </w:p>
    <w:p w:rsidR="006C5C31" w:rsidRPr="00373C2C" w:rsidRDefault="006C5C31" w:rsidP="00CB54F5">
      <w:pPr>
        <w:pStyle w:val="a4"/>
        <w:shd w:val="clear" w:color="auto" w:fill="FFFFFF"/>
        <w:spacing w:before="0" w:beforeAutospacing="0" w:after="0" w:afterAutospacing="0" w:line="245" w:lineRule="atLeast"/>
        <w:ind w:firstLine="567"/>
        <w:jc w:val="both"/>
        <w:textAlignment w:val="baseline"/>
      </w:pPr>
    </w:p>
    <w:p w:rsidR="006C5C31" w:rsidRPr="00373C2C" w:rsidRDefault="006C5C31" w:rsidP="00CB54F5">
      <w:pPr>
        <w:pStyle w:val="a4"/>
        <w:shd w:val="clear" w:color="auto" w:fill="FFFFFF"/>
        <w:spacing w:before="0" w:beforeAutospacing="0" w:after="0" w:afterAutospacing="0" w:line="245" w:lineRule="atLeast"/>
        <w:ind w:firstLine="567"/>
        <w:jc w:val="both"/>
        <w:textAlignment w:val="baseline"/>
      </w:pPr>
    </w:p>
    <w:p w:rsidR="006C5C31" w:rsidRPr="00373C2C" w:rsidRDefault="006C5C31" w:rsidP="00CB54F5">
      <w:pPr>
        <w:pStyle w:val="a4"/>
        <w:shd w:val="clear" w:color="auto" w:fill="FFFFFF"/>
        <w:spacing w:before="0" w:beforeAutospacing="0" w:after="0" w:afterAutospacing="0" w:line="245" w:lineRule="atLeast"/>
        <w:jc w:val="both"/>
        <w:textAlignment w:val="baseline"/>
      </w:pPr>
    </w:p>
    <w:p w:rsidR="005A77E5" w:rsidRPr="005A77E5" w:rsidRDefault="005A77E5" w:rsidP="005A77E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E0E0E"/>
          <w:sz w:val="28"/>
          <w:szCs w:val="28"/>
        </w:rPr>
      </w:pPr>
    </w:p>
    <w:sectPr w:rsidR="005A77E5" w:rsidRPr="005A7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211A3"/>
    <w:multiLevelType w:val="hybridMultilevel"/>
    <w:tmpl w:val="0764C376"/>
    <w:lvl w:ilvl="0" w:tplc="BE8C88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9F5B97"/>
    <w:multiLevelType w:val="hybridMultilevel"/>
    <w:tmpl w:val="8814D7C4"/>
    <w:lvl w:ilvl="0" w:tplc="5FA0FD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E5"/>
    <w:rsid w:val="00373C2C"/>
    <w:rsid w:val="004B4E2E"/>
    <w:rsid w:val="005617FA"/>
    <w:rsid w:val="005A77E5"/>
    <w:rsid w:val="006C5C31"/>
    <w:rsid w:val="00995C1A"/>
    <w:rsid w:val="00CB54F5"/>
    <w:rsid w:val="00F6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54EAD-EE15-4418-9ED1-7CE83AFA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77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7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ags-newsitem">
    <w:name w:val="tags-news__item"/>
    <w:basedOn w:val="a0"/>
    <w:rsid w:val="005A77E5"/>
  </w:style>
  <w:style w:type="character" w:styleId="a3">
    <w:name w:val="Hyperlink"/>
    <w:basedOn w:val="a0"/>
    <w:uiPriority w:val="99"/>
    <w:semiHidden/>
    <w:unhideWhenUsed/>
    <w:rsid w:val="005A77E5"/>
    <w:rPr>
      <w:color w:val="0000FF"/>
      <w:u w:val="single"/>
    </w:rPr>
  </w:style>
  <w:style w:type="character" w:customStyle="1" w:styleId="tags-newstext">
    <w:name w:val="tags-news__text"/>
    <w:basedOn w:val="a0"/>
    <w:rsid w:val="005A77E5"/>
  </w:style>
  <w:style w:type="character" w:customStyle="1" w:styleId="apple-converted-space">
    <w:name w:val="apple-converted-space"/>
    <w:basedOn w:val="a0"/>
    <w:rsid w:val="005A77E5"/>
  </w:style>
  <w:style w:type="paragraph" w:styleId="a4">
    <w:name w:val="Normal (Web)"/>
    <w:basedOn w:val="a"/>
    <w:uiPriority w:val="99"/>
    <w:unhideWhenUsed/>
    <w:rsid w:val="005A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A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7E5"/>
    <w:rPr>
      <w:rFonts w:ascii="Tahoma" w:hAnsi="Tahoma" w:cs="Tahoma"/>
      <w:sz w:val="16"/>
      <w:szCs w:val="16"/>
    </w:rPr>
  </w:style>
  <w:style w:type="character" w:customStyle="1" w:styleId="doctitleimportant">
    <w:name w:val="doc__title_important"/>
    <w:basedOn w:val="a0"/>
    <w:rsid w:val="005A77E5"/>
  </w:style>
  <w:style w:type="paragraph" w:styleId="a7">
    <w:name w:val="List Paragraph"/>
    <w:basedOn w:val="a"/>
    <w:uiPriority w:val="34"/>
    <w:qFormat/>
    <w:rsid w:val="005A77E5"/>
    <w:pPr>
      <w:ind w:left="720"/>
      <w:contextualSpacing/>
    </w:pPr>
  </w:style>
  <w:style w:type="paragraph" w:customStyle="1" w:styleId="ConsPlusNormal">
    <w:name w:val="ConsPlusNormal"/>
    <w:rsid w:val="006C5C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B54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2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99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0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2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48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03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7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5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334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0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84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1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1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8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93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1&amp;base=LAW&amp;n=474024&amp;date=15.10.2024&amp;dst=338&amp;field=134" TargetMode="External"/><Relationship Id="rId13" Type="http://schemas.openxmlformats.org/officeDocument/2006/relationships/hyperlink" Target="https://login.consultant.ru/link/?req=doc&amp;demo=1&amp;base=LAW&amp;n=189366&amp;date=15.10.2024&amp;dst=100264&amp;field=134" TargetMode="External"/><Relationship Id="rId18" Type="http://schemas.openxmlformats.org/officeDocument/2006/relationships/hyperlink" Target="https://login.consultant.ru/link/?req=doc&amp;demo=1&amp;base=LAW&amp;n=474024&amp;date=15.10.2024&amp;dst=1341&amp;field=13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demo=1&amp;base=LAW&amp;n=433304&amp;date=15.10.2024&amp;dst=507&amp;field=134" TargetMode="External"/><Relationship Id="rId7" Type="http://schemas.openxmlformats.org/officeDocument/2006/relationships/hyperlink" Target="https://login.consultant.ru/link/?req=doc&amp;demo=1&amp;base=LAW&amp;n=474024&amp;date=15.10.2024&amp;dst=457&amp;field=134" TargetMode="External"/><Relationship Id="rId12" Type="http://schemas.openxmlformats.org/officeDocument/2006/relationships/hyperlink" Target="https://login.consultant.ru/link/?req=doc&amp;demo=1&amp;base=LAW&amp;n=474024&amp;date=15.10.2024&amp;dst=2251&amp;field=134" TargetMode="External"/><Relationship Id="rId17" Type="http://schemas.openxmlformats.org/officeDocument/2006/relationships/hyperlink" Target="https://login.consultant.ru/link/?req=doc&amp;demo=1&amp;base=LAW&amp;n=474024&amp;date=15.10.2024&amp;dst=483&amp;field=13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demo=1&amp;base=LAW&amp;n=474024&amp;date=15.10.2024&amp;dst=457&amp;field=134" TargetMode="External"/><Relationship Id="rId20" Type="http://schemas.openxmlformats.org/officeDocument/2006/relationships/hyperlink" Target="https://login.consultant.ru/link/?req=doc&amp;demo=1&amp;base=LAW&amp;n=433304&amp;date=15.10.2024&amp;dst=497&amp;fie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475114;dst=483" TargetMode="External"/><Relationship Id="rId11" Type="http://schemas.openxmlformats.org/officeDocument/2006/relationships/hyperlink" Target="https://login.consultant.ru/link/?req=doc&amp;demo=1&amp;base=LAW&amp;n=474024&amp;date=15.10.2024&amp;dst=483&amp;field=134" TargetMode="External"/><Relationship Id="rId24" Type="http://schemas.openxmlformats.org/officeDocument/2006/relationships/hyperlink" Target="consultantplus://offline/main?base=KSOJ006;n=92345;dst=100060" TargetMode="External"/><Relationship Id="rId5" Type="http://schemas.openxmlformats.org/officeDocument/2006/relationships/hyperlink" Target="consultantplus://offline/main?base=LAW;n=475114;dst=459" TargetMode="External"/><Relationship Id="rId15" Type="http://schemas.openxmlformats.org/officeDocument/2006/relationships/hyperlink" Target="https://login.consultant.ru/link/?req=doc&amp;demo=1&amp;base=LAW&amp;n=474024&amp;date=15.10.2024&amp;dst=338&amp;field=134" TargetMode="External"/><Relationship Id="rId23" Type="http://schemas.openxmlformats.org/officeDocument/2006/relationships/hyperlink" Target="consultantplus://offline/main?base=KSOJ003;n=127057;dst=100040" TargetMode="External"/><Relationship Id="rId10" Type="http://schemas.openxmlformats.org/officeDocument/2006/relationships/hyperlink" Target="https://login.consultant.ru/link/?req=doc&amp;demo=1&amp;base=LAW&amp;n=474024&amp;date=15.10.2024&amp;dst=457&amp;field=134" TargetMode="External"/><Relationship Id="rId19" Type="http://schemas.openxmlformats.org/officeDocument/2006/relationships/hyperlink" Target="consultantplus://offline/main?base=KSOJ003;n=127057;dst=1000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1&amp;base=LAW&amp;n=474024&amp;date=15.10.2024&amp;dst=440&amp;field=134" TargetMode="External"/><Relationship Id="rId14" Type="http://schemas.openxmlformats.org/officeDocument/2006/relationships/hyperlink" Target="https://login.consultant.ru/link/?req=doc&amp;demo=1&amp;base=LAW&amp;n=474024&amp;date=15.10.2024&amp;dst=461&amp;field=134" TargetMode="External"/><Relationship Id="rId22" Type="http://schemas.openxmlformats.org/officeDocument/2006/relationships/hyperlink" Target="consultantplus://offline/main?base=KSOJ003;n=127057;dst=100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2024-10-15T10:20:00Z</dcterms:created>
  <dcterms:modified xsi:type="dcterms:W3CDTF">2024-10-15T10:20:00Z</dcterms:modified>
</cp:coreProperties>
</file>